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Alex with Fronds, 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OIl and imitation gold on panel. 1 ⅝” panel gold leafed. 18”x24”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Available, price upon request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Beyond the Clouds, 2020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Oil and 21k white gold on traditional gesso panel. 1 ⅝” cradle gold leafed. 10”x20”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Available, price upon request.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Deco Deer, 2020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Oil on Panel. 1 ½” cradled panel. 16”x20”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Available, price upon request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Elephant Camouflage, 2020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Oil on traditional gesso panel. 1 ⅝” painted patterned cradle. 10”x10”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Available, price upon request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Fruit Gathering, 2020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Oil on traditional gesso. 1 ⅝” cradled panel. 9”x12”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Private Collection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Souvenier, 2020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OIl on traditional gesso. 1 ⅝” cradled panel gold leafed. 6”x12”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Available, price upon request.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