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E4953" w14:textId="77777777" w:rsidR="00A56FDE" w:rsidRPr="00137E98" w:rsidRDefault="00475594">
      <w:pPr>
        <w:spacing w:before="1440"/>
        <w:jc w:val="center"/>
        <w:rPr>
          <w:rFonts w:ascii="Arial" w:hAnsi="Arial" w:cs="Arial"/>
        </w:rPr>
      </w:pPr>
      <w:r w:rsidRPr="00137E98">
        <w:rPr>
          <w:rFonts w:ascii="Arial" w:hAnsi="Arial" w:cs="Arial"/>
          <w:b/>
          <w:sz w:val="32"/>
        </w:rPr>
        <w:t>TUPI MUNICIPAL HOSPITAL INFORMATION SYSTEM (TMHIS)</w:t>
      </w:r>
      <w:r w:rsidRPr="00137E98">
        <w:rPr>
          <w:rFonts w:ascii="Arial" w:hAnsi="Arial" w:cs="Arial"/>
          <w:b/>
          <w:sz w:val="32"/>
        </w:rPr>
        <w:br/>
      </w:r>
      <w:r w:rsidRPr="00137E98">
        <w:rPr>
          <w:rFonts w:ascii="Arial" w:hAnsi="Arial" w:cs="Arial"/>
          <w:b/>
          <w:sz w:val="32"/>
        </w:rPr>
        <w:br/>
      </w:r>
      <w:r w:rsidRPr="00137E98">
        <w:rPr>
          <w:rFonts w:ascii="Arial" w:hAnsi="Arial" w:cs="Arial"/>
          <w:b/>
          <w:sz w:val="32"/>
        </w:rPr>
        <w:br/>
      </w:r>
      <w:r w:rsidRPr="00137E98">
        <w:rPr>
          <w:rFonts w:ascii="Arial" w:hAnsi="Arial" w:cs="Arial"/>
          <w:b/>
          <w:sz w:val="32"/>
        </w:rPr>
        <w:br/>
      </w:r>
      <w:r w:rsidRPr="00137E98">
        <w:rPr>
          <w:rFonts w:ascii="Arial" w:hAnsi="Arial" w:cs="Arial"/>
          <w:b/>
          <w:sz w:val="32"/>
        </w:rPr>
        <w:br/>
      </w:r>
    </w:p>
    <w:p w14:paraId="76BFE65E" w14:textId="1E616DBD" w:rsidR="00A56FDE" w:rsidRPr="00137E98" w:rsidRDefault="00475594">
      <w:pPr>
        <w:jc w:val="center"/>
        <w:rPr>
          <w:rFonts w:ascii="Arial" w:hAnsi="Arial" w:cs="Arial"/>
        </w:rPr>
      </w:pPr>
      <w:r w:rsidRPr="00137E98">
        <w:rPr>
          <w:rFonts w:ascii="Arial" w:hAnsi="Arial" w:cs="Arial"/>
        </w:rPr>
        <w:t xml:space="preserve">A </w:t>
      </w:r>
      <w:r w:rsidR="00200D49" w:rsidRPr="00137E98">
        <w:rPr>
          <w:rFonts w:ascii="Arial" w:hAnsi="Arial" w:cs="Arial"/>
        </w:rPr>
        <w:t>(</w:t>
      </w:r>
      <w:proofErr w:type="spellStart"/>
      <w:r w:rsidR="00200D49" w:rsidRPr="00137E98">
        <w:rPr>
          <w:rFonts w:ascii="Arial" w:hAnsi="Arial" w:cs="Arial"/>
        </w:rPr>
        <w:t>Unsa</w:t>
      </w:r>
      <w:proofErr w:type="spellEnd"/>
      <w:r w:rsidR="00842D34" w:rsidRPr="00137E98">
        <w:rPr>
          <w:rFonts w:ascii="Arial" w:hAnsi="Arial" w:cs="Arial"/>
        </w:rPr>
        <w:t xml:space="preserve"> </w:t>
      </w:r>
      <w:proofErr w:type="spellStart"/>
      <w:r w:rsidR="00842D34" w:rsidRPr="00137E98">
        <w:rPr>
          <w:rFonts w:ascii="Arial" w:hAnsi="Arial" w:cs="Arial"/>
        </w:rPr>
        <w:t>n</w:t>
      </w:r>
      <w:r w:rsidR="00200D49" w:rsidRPr="00137E98">
        <w:rPr>
          <w:rFonts w:ascii="Arial" w:hAnsi="Arial" w:cs="Arial"/>
        </w:rPr>
        <w:t>a</w:t>
      </w:r>
      <w:proofErr w:type="spellEnd"/>
      <w:r w:rsidR="00200D49" w:rsidRPr="00137E98">
        <w:rPr>
          <w:rFonts w:ascii="Arial" w:hAnsi="Arial" w:cs="Arial"/>
        </w:rPr>
        <w:t xml:space="preserve"> Study?) </w:t>
      </w:r>
      <w:r w:rsidRPr="00137E98">
        <w:rPr>
          <w:rFonts w:ascii="Arial" w:hAnsi="Arial" w:cs="Arial"/>
        </w:rPr>
        <w:t>to the Facul</w:t>
      </w:r>
      <w:r w:rsidRPr="00137E98">
        <w:rPr>
          <w:rFonts w:ascii="Arial" w:hAnsi="Arial" w:cs="Arial"/>
        </w:rPr>
        <w:t>ty of the</w:t>
      </w:r>
      <w:r w:rsidRPr="00137E98">
        <w:rPr>
          <w:rFonts w:ascii="Arial" w:hAnsi="Arial" w:cs="Arial"/>
        </w:rPr>
        <w:br/>
        <w:t>College of Information and Communications Technology</w:t>
      </w:r>
      <w:r w:rsidRPr="00137E98">
        <w:rPr>
          <w:rFonts w:ascii="Arial" w:hAnsi="Arial" w:cs="Arial"/>
        </w:rPr>
        <w:br/>
      </w:r>
      <w:r w:rsidRPr="00137E98">
        <w:rPr>
          <w:rFonts w:ascii="Arial" w:hAnsi="Arial" w:cs="Arial"/>
        </w:rPr>
        <w:br/>
      </w:r>
      <w:r w:rsidRPr="00137E98">
        <w:rPr>
          <w:rFonts w:ascii="Arial" w:hAnsi="Arial" w:cs="Arial"/>
        </w:rPr>
        <w:br/>
      </w:r>
      <w:r w:rsidRPr="00137E98">
        <w:rPr>
          <w:rFonts w:ascii="Arial" w:hAnsi="Arial" w:cs="Arial"/>
        </w:rPr>
        <w:br/>
      </w:r>
      <w:r w:rsidRPr="00137E98">
        <w:rPr>
          <w:rFonts w:ascii="Arial" w:hAnsi="Arial" w:cs="Arial"/>
        </w:rPr>
        <w:br/>
      </w:r>
    </w:p>
    <w:p w14:paraId="3AF58F99" w14:textId="6A6DABED" w:rsidR="00A56FDE" w:rsidRPr="00137E98" w:rsidRDefault="00475594">
      <w:pPr>
        <w:jc w:val="center"/>
        <w:rPr>
          <w:rFonts w:ascii="Arial" w:hAnsi="Arial" w:cs="Arial"/>
        </w:rPr>
      </w:pPr>
      <w:r w:rsidRPr="00137E98">
        <w:rPr>
          <w:rFonts w:ascii="Arial" w:hAnsi="Arial" w:cs="Arial"/>
        </w:rPr>
        <w:t>In Partial Fulfillment of the Requirements for the Degree</w:t>
      </w:r>
      <w:r w:rsidRPr="00137E98">
        <w:rPr>
          <w:rFonts w:ascii="Arial" w:hAnsi="Arial" w:cs="Arial"/>
        </w:rPr>
        <w:br/>
        <w:t>Bachelor of Science in Information Technolog</w:t>
      </w:r>
      <w:r w:rsidRPr="00137E98">
        <w:rPr>
          <w:rFonts w:ascii="Arial" w:hAnsi="Arial" w:cs="Arial"/>
        </w:rPr>
        <w:t>y</w:t>
      </w:r>
      <w:r w:rsidRPr="00137E98">
        <w:rPr>
          <w:rFonts w:ascii="Arial" w:hAnsi="Arial" w:cs="Arial"/>
        </w:rPr>
        <w:br/>
      </w:r>
      <w:r w:rsidRPr="00137E98">
        <w:rPr>
          <w:rFonts w:ascii="Arial" w:hAnsi="Arial" w:cs="Arial"/>
        </w:rPr>
        <w:br/>
      </w:r>
    </w:p>
    <w:p w14:paraId="48ED5E60" w14:textId="0D015119" w:rsidR="00137E98" w:rsidRPr="00137E98" w:rsidRDefault="00475594" w:rsidP="00137E98">
      <w:pPr>
        <w:jc w:val="center"/>
        <w:rPr>
          <w:rFonts w:ascii="Arial" w:hAnsi="Arial" w:cs="Arial"/>
        </w:rPr>
      </w:pPr>
      <w:r w:rsidRPr="00137E98">
        <w:rPr>
          <w:rFonts w:ascii="Arial" w:hAnsi="Arial" w:cs="Arial"/>
          <w:b/>
        </w:rPr>
        <w:t>by:</w:t>
      </w:r>
      <w:r w:rsidRPr="00137E98">
        <w:rPr>
          <w:rFonts w:ascii="Arial" w:hAnsi="Arial" w:cs="Arial"/>
          <w:b/>
        </w:rPr>
        <w:br/>
      </w:r>
      <w:r w:rsidRPr="00137E98">
        <w:rPr>
          <w:rFonts w:ascii="Arial" w:hAnsi="Arial" w:cs="Arial"/>
          <w:b/>
        </w:rPr>
        <w:br/>
      </w:r>
      <w:r w:rsidRPr="00137E98">
        <w:rPr>
          <w:rFonts w:ascii="Arial" w:hAnsi="Arial" w:cs="Arial"/>
        </w:rPr>
        <w:t>Alang, Fairah C.</w:t>
      </w:r>
      <w:r w:rsidRPr="00137E98">
        <w:rPr>
          <w:rFonts w:ascii="Arial" w:hAnsi="Arial" w:cs="Arial"/>
        </w:rPr>
        <w:br/>
        <w:t>Amit, Kent Carl V.</w:t>
      </w:r>
      <w:r w:rsidRPr="00137E98">
        <w:rPr>
          <w:rFonts w:ascii="Arial" w:hAnsi="Arial" w:cs="Arial"/>
        </w:rPr>
        <w:br/>
        <w:t>Cunahap, Allenne Joy</w:t>
      </w:r>
      <w:r w:rsidRPr="00137E98">
        <w:rPr>
          <w:rFonts w:ascii="Arial" w:hAnsi="Arial" w:cs="Arial"/>
        </w:rPr>
        <w:br/>
        <w:t>Geagonia, Kirby A.</w:t>
      </w:r>
      <w:r w:rsidRPr="00137E98">
        <w:rPr>
          <w:rFonts w:ascii="Arial" w:hAnsi="Arial" w:cs="Arial"/>
        </w:rPr>
        <w:br/>
      </w:r>
    </w:p>
    <w:p w14:paraId="2F22E0A3" w14:textId="77777777" w:rsidR="00137E98" w:rsidRDefault="00475594" w:rsidP="00137E98">
      <w:pPr>
        <w:jc w:val="center"/>
        <w:rPr>
          <w:rFonts w:ascii="Arial" w:hAnsi="Arial" w:cs="Arial"/>
        </w:rPr>
      </w:pPr>
      <w:r w:rsidRPr="00137E98">
        <w:rPr>
          <w:rFonts w:ascii="Arial" w:hAnsi="Arial" w:cs="Arial"/>
        </w:rPr>
        <w:t>August 2026</w:t>
      </w:r>
    </w:p>
    <w:p w14:paraId="1AD5091D" w14:textId="521C9F94" w:rsidR="00A56FDE" w:rsidRPr="00137E98" w:rsidRDefault="00475594" w:rsidP="00137E98">
      <w:pPr>
        <w:jc w:val="center"/>
        <w:rPr>
          <w:rFonts w:ascii="Arial" w:hAnsi="Arial" w:cs="Arial"/>
        </w:rPr>
      </w:pPr>
      <w:r w:rsidRPr="00137E98">
        <w:rPr>
          <w:rFonts w:ascii="Arial" w:hAnsi="Arial" w:cs="Arial"/>
          <w:b/>
          <w:sz w:val="28"/>
        </w:rPr>
        <w:lastRenderedPageBreak/>
        <w:t>TABLE OF CONTENTS</w:t>
      </w:r>
      <w:r w:rsidRPr="00137E98">
        <w:rPr>
          <w:rFonts w:ascii="Arial" w:hAnsi="Arial" w:cs="Arial"/>
          <w:b/>
          <w:sz w:val="28"/>
        </w:rPr>
        <w:br/>
      </w:r>
    </w:p>
    <w:tbl>
      <w:tblPr>
        <w:tblW w:w="0" w:type="auto"/>
        <w:jc w:val="center"/>
        <w:tblLayout w:type="fixed"/>
        <w:tblLook w:val="04A0" w:firstRow="1" w:lastRow="0" w:firstColumn="1" w:lastColumn="0" w:noHBand="0" w:noVBand="1"/>
      </w:tblPr>
      <w:tblGrid>
        <w:gridCol w:w="7920"/>
        <w:gridCol w:w="1440"/>
      </w:tblGrid>
      <w:tr w:rsidR="00A56FDE" w:rsidRPr="00137E98" w14:paraId="60438222" w14:textId="77777777">
        <w:trPr>
          <w:jc w:val="center"/>
        </w:trPr>
        <w:tc>
          <w:tcPr>
            <w:tcW w:w="7920" w:type="dxa"/>
          </w:tcPr>
          <w:p w14:paraId="79CB51C2" w14:textId="77777777" w:rsidR="00A56FDE" w:rsidRPr="00137E98" w:rsidRDefault="00475594">
            <w:pPr>
              <w:spacing w:after="40" w:line="276" w:lineRule="auto"/>
              <w:rPr>
                <w:rFonts w:ascii="Arial" w:hAnsi="Arial" w:cs="Arial"/>
              </w:rPr>
            </w:pPr>
            <w:r w:rsidRPr="00137E98">
              <w:rPr>
                <w:rFonts w:ascii="Arial" w:hAnsi="Arial" w:cs="Arial"/>
                <w:b/>
              </w:rPr>
              <w:t>TITLE PAGE</w:t>
            </w:r>
          </w:p>
        </w:tc>
        <w:tc>
          <w:tcPr>
            <w:tcW w:w="1440" w:type="dxa"/>
          </w:tcPr>
          <w:p w14:paraId="080C7079" w14:textId="77777777" w:rsidR="00A56FDE" w:rsidRPr="00137E98" w:rsidRDefault="00475594">
            <w:pPr>
              <w:spacing w:after="40" w:line="276" w:lineRule="auto"/>
              <w:jc w:val="right"/>
              <w:rPr>
                <w:rFonts w:ascii="Arial" w:hAnsi="Arial" w:cs="Arial"/>
              </w:rPr>
            </w:pPr>
            <w:r w:rsidRPr="00137E98">
              <w:rPr>
                <w:rFonts w:ascii="Arial" w:hAnsi="Arial" w:cs="Arial"/>
                <w:b/>
              </w:rPr>
              <w:t>i</w:t>
            </w:r>
          </w:p>
        </w:tc>
      </w:tr>
      <w:tr w:rsidR="00A56FDE" w:rsidRPr="00137E98" w14:paraId="151CC5D9" w14:textId="77777777">
        <w:trPr>
          <w:jc w:val="center"/>
        </w:trPr>
        <w:tc>
          <w:tcPr>
            <w:tcW w:w="7920" w:type="dxa"/>
          </w:tcPr>
          <w:p w14:paraId="18E44AB0" w14:textId="77777777" w:rsidR="00A56FDE" w:rsidRPr="00137E98" w:rsidRDefault="00475594">
            <w:pPr>
              <w:spacing w:after="40" w:line="276" w:lineRule="auto"/>
              <w:rPr>
                <w:rFonts w:ascii="Arial" w:hAnsi="Arial" w:cs="Arial"/>
              </w:rPr>
            </w:pPr>
            <w:r w:rsidRPr="00137E98">
              <w:rPr>
                <w:rFonts w:ascii="Arial" w:hAnsi="Arial" w:cs="Arial"/>
              </w:rPr>
              <w:t>TABLE OF CONTENTS</w:t>
            </w:r>
          </w:p>
        </w:tc>
        <w:tc>
          <w:tcPr>
            <w:tcW w:w="1440" w:type="dxa"/>
          </w:tcPr>
          <w:p w14:paraId="091210D7" w14:textId="77777777" w:rsidR="00A56FDE" w:rsidRPr="00137E98" w:rsidRDefault="00475594">
            <w:pPr>
              <w:spacing w:after="40" w:line="276" w:lineRule="auto"/>
              <w:jc w:val="right"/>
              <w:rPr>
                <w:rFonts w:ascii="Arial" w:hAnsi="Arial" w:cs="Arial"/>
              </w:rPr>
            </w:pPr>
            <w:r w:rsidRPr="00137E98">
              <w:rPr>
                <w:rFonts w:ascii="Arial" w:hAnsi="Arial" w:cs="Arial"/>
              </w:rPr>
              <w:t>ii</w:t>
            </w:r>
          </w:p>
        </w:tc>
      </w:tr>
      <w:tr w:rsidR="00A56FDE" w:rsidRPr="00137E98" w14:paraId="0DEF394B" w14:textId="77777777">
        <w:trPr>
          <w:jc w:val="center"/>
        </w:trPr>
        <w:tc>
          <w:tcPr>
            <w:tcW w:w="7920" w:type="dxa"/>
          </w:tcPr>
          <w:p w14:paraId="0BDEE316" w14:textId="77777777" w:rsidR="00A56FDE" w:rsidRPr="00137E98" w:rsidRDefault="00475594">
            <w:pPr>
              <w:spacing w:after="40" w:line="276" w:lineRule="auto"/>
              <w:rPr>
                <w:rFonts w:ascii="Arial" w:hAnsi="Arial" w:cs="Arial"/>
              </w:rPr>
            </w:pPr>
            <w:r w:rsidRPr="00137E98">
              <w:rPr>
                <w:rFonts w:ascii="Arial" w:hAnsi="Arial" w:cs="Arial"/>
                <w:b/>
              </w:rPr>
              <w:t>CHAPTER I: INTRODUCTION</w:t>
            </w:r>
          </w:p>
        </w:tc>
        <w:tc>
          <w:tcPr>
            <w:tcW w:w="1440" w:type="dxa"/>
          </w:tcPr>
          <w:p w14:paraId="00BA80E3" w14:textId="77777777" w:rsidR="00A56FDE" w:rsidRPr="00137E98" w:rsidRDefault="00475594">
            <w:pPr>
              <w:spacing w:after="40" w:line="276" w:lineRule="auto"/>
              <w:jc w:val="right"/>
              <w:rPr>
                <w:rFonts w:ascii="Arial" w:hAnsi="Arial" w:cs="Arial"/>
              </w:rPr>
            </w:pPr>
            <w:r w:rsidRPr="00137E98">
              <w:rPr>
                <w:rFonts w:ascii="Arial" w:hAnsi="Arial" w:cs="Arial"/>
                <w:b/>
              </w:rPr>
              <w:t>1</w:t>
            </w:r>
          </w:p>
        </w:tc>
      </w:tr>
      <w:tr w:rsidR="00A56FDE" w:rsidRPr="00137E98" w14:paraId="24477B1C" w14:textId="77777777">
        <w:trPr>
          <w:jc w:val="center"/>
        </w:trPr>
        <w:tc>
          <w:tcPr>
            <w:tcW w:w="7920" w:type="dxa"/>
          </w:tcPr>
          <w:p w14:paraId="2D75A7E6" w14:textId="77777777" w:rsidR="00A56FDE" w:rsidRPr="00137E98" w:rsidRDefault="00475594">
            <w:pPr>
              <w:spacing w:after="40" w:line="276" w:lineRule="auto"/>
              <w:rPr>
                <w:rFonts w:ascii="Arial" w:hAnsi="Arial" w:cs="Arial"/>
              </w:rPr>
            </w:pPr>
            <w:r w:rsidRPr="00137E98">
              <w:rPr>
                <w:rFonts w:ascii="Arial" w:hAnsi="Arial" w:cs="Arial"/>
              </w:rPr>
              <w:t xml:space="preserve">    Background of the Study</w:t>
            </w:r>
          </w:p>
        </w:tc>
        <w:tc>
          <w:tcPr>
            <w:tcW w:w="1440" w:type="dxa"/>
          </w:tcPr>
          <w:p w14:paraId="15B6E3A2" w14:textId="77777777" w:rsidR="00A56FDE" w:rsidRPr="00137E98" w:rsidRDefault="00475594">
            <w:pPr>
              <w:spacing w:after="40" w:line="276" w:lineRule="auto"/>
              <w:jc w:val="right"/>
              <w:rPr>
                <w:rFonts w:ascii="Arial" w:hAnsi="Arial" w:cs="Arial"/>
              </w:rPr>
            </w:pPr>
            <w:r w:rsidRPr="00137E98">
              <w:rPr>
                <w:rFonts w:ascii="Arial" w:hAnsi="Arial" w:cs="Arial"/>
              </w:rPr>
              <w:t>1</w:t>
            </w:r>
          </w:p>
        </w:tc>
      </w:tr>
      <w:tr w:rsidR="00A56FDE" w:rsidRPr="00137E98" w14:paraId="22BEF4AB" w14:textId="77777777">
        <w:trPr>
          <w:jc w:val="center"/>
        </w:trPr>
        <w:tc>
          <w:tcPr>
            <w:tcW w:w="7920" w:type="dxa"/>
          </w:tcPr>
          <w:p w14:paraId="654A944F" w14:textId="77777777" w:rsidR="00A56FDE" w:rsidRPr="00137E98" w:rsidRDefault="00475594">
            <w:pPr>
              <w:spacing w:after="40" w:line="276" w:lineRule="auto"/>
              <w:rPr>
                <w:rFonts w:ascii="Arial" w:hAnsi="Arial" w:cs="Arial"/>
              </w:rPr>
            </w:pPr>
            <w:r w:rsidRPr="00137E98">
              <w:rPr>
                <w:rFonts w:ascii="Arial" w:hAnsi="Arial" w:cs="Arial"/>
              </w:rPr>
              <w:t xml:space="preserve">    Objectives of the Study</w:t>
            </w:r>
          </w:p>
        </w:tc>
        <w:tc>
          <w:tcPr>
            <w:tcW w:w="1440" w:type="dxa"/>
          </w:tcPr>
          <w:p w14:paraId="7928868E" w14:textId="77777777" w:rsidR="00A56FDE" w:rsidRPr="00137E98" w:rsidRDefault="00475594">
            <w:pPr>
              <w:spacing w:after="40" w:line="276" w:lineRule="auto"/>
              <w:jc w:val="right"/>
              <w:rPr>
                <w:rFonts w:ascii="Arial" w:hAnsi="Arial" w:cs="Arial"/>
              </w:rPr>
            </w:pPr>
            <w:r w:rsidRPr="00137E98">
              <w:rPr>
                <w:rFonts w:ascii="Arial" w:hAnsi="Arial" w:cs="Arial"/>
              </w:rPr>
              <w:t>4</w:t>
            </w:r>
          </w:p>
        </w:tc>
      </w:tr>
      <w:tr w:rsidR="00A56FDE" w:rsidRPr="00137E98" w14:paraId="0FF32582" w14:textId="77777777">
        <w:trPr>
          <w:jc w:val="center"/>
        </w:trPr>
        <w:tc>
          <w:tcPr>
            <w:tcW w:w="7920" w:type="dxa"/>
          </w:tcPr>
          <w:p w14:paraId="12BCF9FF" w14:textId="77777777" w:rsidR="00A56FDE" w:rsidRPr="00137E98" w:rsidRDefault="00475594">
            <w:pPr>
              <w:spacing w:after="40" w:line="276" w:lineRule="auto"/>
              <w:rPr>
                <w:rFonts w:ascii="Arial" w:hAnsi="Arial" w:cs="Arial"/>
              </w:rPr>
            </w:pPr>
            <w:r w:rsidRPr="00137E98">
              <w:rPr>
                <w:rFonts w:ascii="Arial" w:hAnsi="Arial" w:cs="Arial"/>
              </w:rPr>
              <w:t xml:space="preserve">        General Objective</w:t>
            </w:r>
          </w:p>
        </w:tc>
        <w:tc>
          <w:tcPr>
            <w:tcW w:w="1440" w:type="dxa"/>
          </w:tcPr>
          <w:p w14:paraId="76CF761D" w14:textId="77777777" w:rsidR="00A56FDE" w:rsidRPr="00137E98" w:rsidRDefault="00475594">
            <w:pPr>
              <w:spacing w:after="40" w:line="276" w:lineRule="auto"/>
              <w:jc w:val="right"/>
              <w:rPr>
                <w:rFonts w:ascii="Arial" w:hAnsi="Arial" w:cs="Arial"/>
              </w:rPr>
            </w:pPr>
            <w:r w:rsidRPr="00137E98">
              <w:rPr>
                <w:rFonts w:ascii="Arial" w:hAnsi="Arial" w:cs="Arial"/>
              </w:rPr>
              <w:t>4</w:t>
            </w:r>
          </w:p>
        </w:tc>
      </w:tr>
      <w:tr w:rsidR="00A56FDE" w:rsidRPr="00137E98" w14:paraId="1A2E508C" w14:textId="77777777">
        <w:trPr>
          <w:jc w:val="center"/>
        </w:trPr>
        <w:tc>
          <w:tcPr>
            <w:tcW w:w="7920" w:type="dxa"/>
          </w:tcPr>
          <w:p w14:paraId="7DF2A026" w14:textId="77777777" w:rsidR="00A56FDE" w:rsidRPr="00137E98" w:rsidRDefault="00475594">
            <w:pPr>
              <w:spacing w:after="40" w:line="276" w:lineRule="auto"/>
              <w:rPr>
                <w:rFonts w:ascii="Arial" w:hAnsi="Arial" w:cs="Arial"/>
              </w:rPr>
            </w:pPr>
            <w:r w:rsidRPr="00137E98">
              <w:rPr>
                <w:rFonts w:ascii="Arial" w:hAnsi="Arial" w:cs="Arial"/>
              </w:rPr>
              <w:t xml:space="preserve">        Specific Objectives</w:t>
            </w:r>
          </w:p>
        </w:tc>
        <w:tc>
          <w:tcPr>
            <w:tcW w:w="1440" w:type="dxa"/>
          </w:tcPr>
          <w:p w14:paraId="5FF6CD49" w14:textId="77777777" w:rsidR="00A56FDE" w:rsidRPr="00137E98" w:rsidRDefault="00475594">
            <w:pPr>
              <w:spacing w:after="40" w:line="276" w:lineRule="auto"/>
              <w:jc w:val="right"/>
              <w:rPr>
                <w:rFonts w:ascii="Arial" w:hAnsi="Arial" w:cs="Arial"/>
              </w:rPr>
            </w:pPr>
            <w:r w:rsidRPr="00137E98">
              <w:rPr>
                <w:rFonts w:ascii="Arial" w:hAnsi="Arial" w:cs="Arial"/>
              </w:rPr>
              <w:t>4</w:t>
            </w:r>
          </w:p>
        </w:tc>
      </w:tr>
      <w:tr w:rsidR="00A56FDE" w:rsidRPr="00137E98" w14:paraId="16FF9029" w14:textId="77777777">
        <w:trPr>
          <w:jc w:val="center"/>
        </w:trPr>
        <w:tc>
          <w:tcPr>
            <w:tcW w:w="7920" w:type="dxa"/>
          </w:tcPr>
          <w:p w14:paraId="7DD4DB54" w14:textId="77777777" w:rsidR="00A56FDE" w:rsidRPr="00137E98" w:rsidRDefault="00475594">
            <w:pPr>
              <w:spacing w:after="40" w:line="276" w:lineRule="auto"/>
              <w:rPr>
                <w:rFonts w:ascii="Arial" w:hAnsi="Arial" w:cs="Arial"/>
              </w:rPr>
            </w:pPr>
            <w:r w:rsidRPr="00137E98">
              <w:rPr>
                <w:rFonts w:ascii="Arial" w:hAnsi="Arial" w:cs="Arial"/>
              </w:rPr>
              <w:t xml:space="preserve">    Scope and Limitation of the Study</w:t>
            </w:r>
          </w:p>
        </w:tc>
        <w:tc>
          <w:tcPr>
            <w:tcW w:w="1440" w:type="dxa"/>
          </w:tcPr>
          <w:p w14:paraId="69EF28DD" w14:textId="77777777" w:rsidR="00A56FDE" w:rsidRPr="00137E98" w:rsidRDefault="00475594">
            <w:pPr>
              <w:spacing w:after="40" w:line="276" w:lineRule="auto"/>
              <w:jc w:val="right"/>
              <w:rPr>
                <w:rFonts w:ascii="Arial" w:hAnsi="Arial" w:cs="Arial"/>
              </w:rPr>
            </w:pPr>
            <w:r w:rsidRPr="00137E98">
              <w:rPr>
                <w:rFonts w:ascii="Arial" w:hAnsi="Arial" w:cs="Arial"/>
              </w:rPr>
              <w:t>6</w:t>
            </w:r>
          </w:p>
        </w:tc>
      </w:tr>
      <w:tr w:rsidR="00A56FDE" w:rsidRPr="00137E98" w14:paraId="416EC79E" w14:textId="77777777">
        <w:trPr>
          <w:jc w:val="center"/>
        </w:trPr>
        <w:tc>
          <w:tcPr>
            <w:tcW w:w="7920" w:type="dxa"/>
          </w:tcPr>
          <w:p w14:paraId="654A419F" w14:textId="77777777" w:rsidR="00A56FDE" w:rsidRPr="00137E98" w:rsidRDefault="00475594">
            <w:pPr>
              <w:spacing w:after="40" w:line="276" w:lineRule="auto"/>
              <w:rPr>
                <w:rFonts w:ascii="Arial" w:hAnsi="Arial" w:cs="Arial"/>
              </w:rPr>
            </w:pPr>
            <w:r w:rsidRPr="00137E98">
              <w:rPr>
                <w:rFonts w:ascii="Arial" w:hAnsi="Arial" w:cs="Arial"/>
              </w:rPr>
              <w:t xml:space="preserve">        Scope of the Study</w:t>
            </w:r>
          </w:p>
        </w:tc>
        <w:tc>
          <w:tcPr>
            <w:tcW w:w="1440" w:type="dxa"/>
          </w:tcPr>
          <w:p w14:paraId="6CC44A99" w14:textId="77777777" w:rsidR="00A56FDE" w:rsidRPr="00137E98" w:rsidRDefault="00475594">
            <w:pPr>
              <w:spacing w:after="40" w:line="276" w:lineRule="auto"/>
              <w:jc w:val="right"/>
              <w:rPr>
                <w:rFonts w:ascii="Arial" w:hAnsi="Arial" w:cs="Arial"/>
              </w:rPr>
            </w:pPr>
            <w:r w:rsidRPr="00137E98">
              <w:rPr>
                <w:rFonts w:ascii="Arial" w:hAnsi="Arial" w:cs="Arial"/>
              </w:rPr>
              <w:t>6</w:t>
            </w:r>
          </w:p>
        </w:tc>
      </w:tr>
      <w:tr w:rsidR="00A56FDE" w:rsidRPr="00137E98" w14:paraId="53660034" w14:textId="77777777">
        <w:trPr>
          <w:jc w:val="center"/>
        </w:trPr>
        <w:tc>
          <w:tcPr>
            <w:tcW w:w="7920" w:type="dxa"/>
          </w:tcPr>
          <w:p w14:paraId="51ECD1F0" w14:textId="77777777" w:rsidR="00A56FDE" w:rsidRPr="00137E98" w:rsidRDefault="00475594">
            <w:pPr>
              <w:spacing w:after="40" w:line="276" w:lineRule="auto"/>
              <w:rPr>
                <w:rFonts w:ascii="Arial" w:hAnsi="Arial" w:cs="Arial"/>
              </w:rPr>
            </w:pPr>
            <w:r w:rsidRPr="00137E98">
              <w:rPr>
                <w:rFonts w:ascii="Arial" w:hAnsi="Arial" w:cs="Arial"/>
              </w:rPr>
              <w:t xml:space="preserve">        Limitation of the Study</w:t>
            </w:r>
          </w:p>
        </w:tc>
        <w:tc>
          <w:tcPr>
            <w:tcW w:w="1440" w:type="dxa"/>
          </w:tcPr>
          <w:p w14:paraId="053EC05A" w14:textId="77777777" w:rsidR="00A56FDE" w:rsidRPr="00137E98" w:rsidRDefault="00475594">
            <w:pPr>
              <w:spacing w:after="40" w:line="276" w:lineRule="auto"/>
              <w:jc w:val="right"/>
              <w:rPr>
                <w:rFonts w:ascii="Arial" w:hAnsi="Arial" w:cs="Arial"/>
              </w:rPr>
            </w:pPr>
            <w:r w:rsidRPr="00137E98">
              <w:rPr>
                <w:rFonts w:ascii="Arial" w:hAnsi="Arial" w:cs="Arial"/>
              </w:rPr>
              <w:t>7</w:t>
            </w:r>
          </w:p>
        </w:tc>
      </w:tr>
      <w:tr w:rsidR="00A56FDE" w:rsidRPr="00137E98" w14:paraId="60DC57DA" w14:textId="77777777">
        <w:trPr>
          <w:jc w:val="center"/>
        </w:trPr>
        <w:tc>
          <w:tcPr>
            <w:tcW w:w="7920" w:type="dxa"/>
          </w:tcPr>
          <w:p w14:paraId="0B22BDFC" w14:textId="77777777" w:rsidR="00A56FDE" w:rsidRPr="00137E98" w:rsidRDefault="00475594">
            <w:pPr>
              <w:spacing w:after="40" w:line="276" w:lineRule="auto"/>
              <w:rPr>
                <w:rFonts w:ascii="Arial" w:hAnsi="Arial" w:cs="Arial"/>
              </w:rPr>
            </w:pPr>
            <w:r w:rsidRPr="00137E98">
              <w:rPr>
                <w:rFonts w:ascii="Arial" w:hAnsi="Arial" w:cs="Arial"/>
              </w:rPr>
              <w:t xml:space="preserve">    Flow of the Study</w:t>
            </w:r>
          </w:p>
        </w:tc>
        <w:tc>
          <w:tcPr>
            <w:tcW w:w="1440" w:type="dxa"/>
          </w:tcPr>
          <w:p w14:paraId="4EDF2006" w14:textId="77777777" w:rsidR="00A56FDE" w:rsidRPr="00137E98" w:rsidRDefault="00475594">
            <w:pPr>
              <w:spacing w:after="40" w:line="276" w:lineRule="auto"/>
              <w:jc w:val="right"/>
              <w:rPr>
                <w:rFonts w:ascii="Arial" w:hAnsi="Arial" w:cs="Arial"/>
              </w:rPr>
            </w:pPr>
            <w:r w:rsidRPr="00137E98">
              <w:rPr>
                <w:rFonts w:ascii="Arial" w:hAnsi="Arial" w:cs="Arial"/>
              </w:rPr>
              <w:t>9</w:t>
            </w:r>
          </w:p>
        </w:tc>
      </w:tr>
      <w:tr w:rsidR="00A56FDE" w:rsidRPr="00137E98" w14:paraId="5E1FDD99" w14:textId="77777777">
        <w:trPr>
          <w:jc w:val="center"/>
        </w:trPr>
        <w:tc>
          <w:tcPr>
            <w:tcW w:w="7920" w:type="dxa"/>
          </w:tcPr>
          <w:p w14:paraId="00231F97" w14:textId="77777777" w:rsidR="00A56FDE" w:rsidRPr="00137E98" w:rsidRDefault="00475594">
            <w:pPr>
              <w:spacing w:after="40" w:line="276" w:lineRule="auto"/>
              <w:rPr>
                <w:rFonts w:ascii="Arial" w:hAnsi="Arial" w:cs="Arial"/>
              </w:rPr>
            </w:pPr>
            <w:r w:rsidRPr="00137E98">
              <w:rPr>
                <w:rFonts w:ascii="Arial" w:hAnsi="Arial" w:cs="Arial"/>
              </w:rPr>
              <w:t xml:space="preserve">    Definition of Terms</w:t>
            </w:r>
          </w:p>
        </w:tc>
        <w:tc>
          <w:tcPr>
            <w:tcW w:w="1440" w:type="dxa"/>
          </w:tcPr>
          <w:p w14:paraId="5E7F8BB7" w14:textId="77777777" w:rsidR="00A56FDE" w:rsidRPr="00137E98" w:rsidRDefault="00475594">
            <w:pPr>
              <w:spacing w:after="40" w:line="276" w:lineRule="auto"/>
              <w:jc w:val="right"/>
              <w:rPr>
                <w:rFonts w:ascii="Arial" w:hAnsi="Arial" w:cs="Arial"/>
              </w:rPr>
            </w:pPr>
            <w:r w:rsidRPr="00137E98">
              <w:rPr>
                <w:rFonts w:ascii="Arial" w:hAnsi="Arial" w:cs="Arial"/>
              </w:rPr>
              <w:t>12</w:t>
            </w:r>
          </w:p>
        </w:tc>
      </w:tr>
      <w:tr w:rsidR="00A56FDE" w:rsidRPr="00137E98" w14:paraId="5AEF12E7" w14:textId="77777777">
        <w:trPr>
          <w:jc w:val="center"/>
        </w:trPr>
        <w:tc>
          <w:tcPr>
            <w:tcW w:w="7920" w:type="dxa"/>
          </w:tcPr>
          <w:p w14:paraId="078510F3" w14:textId="77777777" w:rsidR="00A56FDE" w:rsidRPr="00137E98" w:rsidRDefault="00475594">
            <w:pPr>
              <w:spacing w:after="40" w:line="276" w:lineRule="auto"/>
              <w:rPr>
                <w:rFonts w:ascii="Arial" w:hAnsi="Arial" w:cs="Arial"/>
              </w:rPr>
            </w:pPr>
            <w:r w:rsidRPr="00137E98">
              <w:rPr>
                <w:rFonts w:ascii="Arial" w:hAnsi="Arial" w:cs="Arial"/>
                <w:b/>
              </w:rPr>
              <w:t>CHAPTER II: REVIEW OF RELATED LITERATURE AND STUDIES</w:t>
            </w:r>
          </w:p>
        </w:tc>
        <w:tc>
          <w:tcPr>
            <w:tcW w:w="1440" w:type="dxa"/>
          </w:tcPr>
          <w:p w14:paraId="16E7F001" w14:textId="77777777" w:rsidR="00A56FDE" w:rsidRPr="00137E98" w:rsidRDefault="00475594">
            <w:pPr>
              <w:spacing w:after="40" w:line="276" w:lineRule="auto"/>
              <w:jc w:val="right"/>
              <w:rPr>
                <w:rFonts w:ascii="Arial" w:hAnsi="Arial" w:cs="Arial"/>
              </w:rPr>
            </w:pPr>
            <w:r w:rsidRPr="00137E98">
              <w:rPr>
                <w:rFonts w:ascii="Arial" w:hAnsi="Arial" w:cs="Arial"/>
                <w:b/>
              </w:rPr>
              <w:t>16</w:t>
            </w:r>
          </w:p>
        </w:tc>
      </w:tr>
      <w:tr w:rsidR="00A56FDE" w:rsidRPr="00137E98" w14:paraId="1BCF4D56" w14:textId="77777777">
        <w:trPr>
          <w:jc w:val="center"/>
        </w:trPr>
        <w:tc>
          <w:tcPr>
            <w:tcW w:w="7920" w:type="dxa"/>
          </w:tcPr>
          <w:p w14:paraId="20B51F22" w14:textId="77777777" w:rsidR="00A56FDE" w:rsidRPr="00137E98" w:rsidRDefault="00475594">
            <w:pPr>
              <w:spacing w:after="40" w:line="276" w:lineRule="auto"/>
              <w:rPr>
                <w:rFonts w:ascii="Arial" w:hAnsi="Arial" w:cs="Arial"/>
              </w:rPr>
            </w:pPr>
            <w:r w:rsidRPr="00137E98">
              <w:rPr>
                <w:rFonts w:ascii="Arial" w:hAnsi="Arial" w:cs="Arial"/>
              </w:rPr>
              <w:t xml:space="preserve">    Review of Related Literature (International, National, Local)</w:t>
            </w:r>
          </w:p>
        </w:tc>
        <w:tc>
          <w:tcPr>
            <w:tcW w:w="1440" w:type="dxa"/>
          </w:tcPr>
          <w:p w14:paraId="5F780E73" w14:textId="77777777" w:rsidR="00A56FDE" w:rsidRPr="00137E98" w:rsidRDefault="00475594">
            <w:pPr>
              <w:spacing w:after="40" w:line="276" w:lineRule="auto"/>
              <w:jc w:val="right"/>
              <w:rPr>
                <w:rFonts w:ascii="Arial" w:hAnsi="Arial" w:cs="Arial"/>
              </w:rPr>
            </w:pPr>
            <w:r w:rsidRPr="00137E98">
              <w:rPr>
                <w:rFonts w:ascii="Arial" w:hAnsi="Arial" w:cs="Arial"/>
              </w:rPr>
              <w:t>16</w:t>
            </w:r>
          </w:p>
        </w:tc>
      </w:tr>
      <w:tr w:rsidR="00A56FDE" w:rsidRPr="00137E98" w14:paraId="62AB8101" w14:textId="77777777">
        <w:trPr>
          <w:jc w:val="center"/>
        </w:trPr>
        <w:tc>
          <w:tcPr>
            <w:tcW w:w="7920" w:type="dxa"/>
          </w:tcPr>
          <w:p w14:paraId="7AD6A3DF" w14:textId="77777777" w:rsidR="00A56FDE" w:rsidRPr="00137E98" w:rsidRDefault="00475594">
            <w:pPr>
              <w:spacing w:after="40" w:line="276" w:lineRule="auto"/>
              <w:rPr>
                <w:rFonts w:ascii="Arial" w:hAnsi="Arial" w:cs="Arial"/>
              </w:rPr>
            </w:pPr>
            <w:r w:rsidRPr="00137E98">
              <w:rPr>
                <w:rFonts w:ascii="Arial" w:hAnsi="Arial" w:cs="Arial"/>
              </w:rPr>
              <w:t xml:space="preserve">    Synthesis of Related Literature</w:t>
            </w:r>
          </w:p>
        </w:tc>
        <w:tc>
          <w:tcPr>
            <w:tcW w:w="1440" w:type="dxa"/>
          </w:tcPr>
          <w:p w14:paraId="175994BB" w14:textId="77777777" w:rsidR="00A56FDE" w:rsidRPr="00137E98" w:rsidRDefault="00475594">
            <w:pPr>
              <w:spacing w:after="40" w:line="276" w:lineRule="auto"/>
              <w:jc w:val="right"/>
              <w:rPr>
                <w:rFonts w:ascii="Arial" w:hAnsi="Arial" w:cs="Arial"/>
              </w:rPr>
            </w:pPr>
            <w:r w:rsidRPr="00137E98">
              <w:rPr>
                <w:rFonts w:ascii="Arial" w:hAnsi="Arial" w:cs="Arial"/>
              </w:rPr>
              <w:t>21</w:t>
            </w:r>
          </w:p>
        </w:tc>
      </w:tr>
      <w:tr w:rsidR="00A56FDE" w:rsidRPr="00137E98" w14:paraId="255AC063" w14:textId="77777777">
        <w:trPr>
          <w:jc w:val="center"/>
        </w:trPr>
        <w:tc>
          <w:tcPr>
            <w:tcW w:w="7920" w:type="dxa"/>
          </w:tcPr>
          <w:p w14:paraId="6880F09B" w14:textId="77777777" w:rsidR="00A56FDE" w:rsidRPr="00137E98" w:rsidRDefault="00475594">
            <w:pPr>
              <w:spacing w:after="40" w:line="276" w:lineRule="auto"/>
              <w:rPr>
                <w:rFonts w:ascii="Arial" w:hAnsi="Arial" w:cs="Arial"/>
              </w:rPr>
            </w:pPr>
            <w:r w:rsidRPr="00137E98">
              <w:rPr>
                <w:rFonts w:ascii="Arial" w:hAnsi="Arial" w:cs="Arial"/>
              </w:rPr>
              <w:t xml:space="preserve">    Review of Related Studies (International, National, Local)</w:t>
            </w:r>
          </w:p>
        </w:tc>
        <w:tc>
          <w:tcPr>
            <w:tcW w:w="1440" w:type="dxa"/>
          </w:tcPr>
          <w:p w14:paraId="359B6411" w14:textId="77777777" w:rsidR="00A56FDE" w:rsidRPr="00137E98" w:rsidRDefault="00475594">
            <w:pPr>
              <w:spacing w:after="40" w:line="276" w:lineRule="auto"/>
              <w:jc w:val="right"/>
              <w:rPr>
                <w:rFonts w:ascii="Arial" w:hAnsi="Arial" w:cs="Arial"/>
              </w:rPr>
            </w:pPr>
            <w:r w:rsidRPr="00137E98">
              <w:rPr>
                <w:rFonts w:ascii="Arial" w:hAnsi="Arial" w:cs="Arial"/>
              </w:rPr>
              <w:t>23</w:t>
            </w:r>
          </w:p>
        </w:tc>
      </w:tr>
      <w:tr w:rsidR="00A56FDE" w:rsidRPr="00137E98" w14:paraId="0BE89EEB" w14:textId="77777777">
        <w:trPr>
          <w:jc w:val="center"/>
        </w:trPr>
        <w:tc>
          <w:tcPr>
            <w:tcW w:w="7920" w:type="dxa"/>
          </w:tcPr>
          <w:p w14:paraId="25935222" w14:textId="77777777" w:rsidR="00A56FDE" w:rsidRPr="00137E98" w:rsidRDefault="00475594">
            <w:pPr>
              <w:spacing w:after="40" w:line="276" w:lineRule="auto"/>
              <w:rPr>
                <w:rFonts w:ascii="Arial" w:hAnsi="Arial" w:cs="Arial"/>
              </w:rPr>
            </w:pPr>
            <w:r w:rsidRPr="00137E98">
              <w:rPr>
                <w:rFonts w:ascii="Arial" w:hAnsi="Arial" w:cs="Arial"/>
              </w:rPr>
              <w:t xml:space="preserve">    Synthesis of Related Studies</w:t>
            </w:r>
          </w:p>
        </w:tc>
        <w:tc>
          <w:tcPr>
            <w:tcW w:w="1440" w:type="dxa"/>
          </w:tcPr>
          <w:p w14:paraId="1FC2B6B9" w14:textId="77777777" w:rsidR="00A56FDE" w:rsidRPr="00137E98" w:rsidRDefault="00475594">
            <w:pPr>
              <w:spacing w:after="40" w:line="276" w:lineRule="auto"/>
              <w:jc w:val="right"/>
              <w:rPr>
                <w:rFonts w:ascii="Arial" w:hAnsi="Arial" w:cs="Arial"/>
              </w:rPr>
            </w:pPr>
            <w:r w:rsidRPr="00137E98">
              <w:rPr>
                <w:rFonts w:ascii="Arial" w:hAnsi="Arial" w:cs="Arial"/>
              </w:rPr>
              <w:t>28</w:t>
            </w:r>
          </w:p>
        </w:tc>
      </w:tr>
      <w:tr w:rsidR="00A56FDE" w:rsidRPr="00137E98" w14:paraId="3ACA3FD7" w14:textId="77777777">
        <w:trPr>
          <w:jc w:val="center"/>
        </w:trPr>
        <w:tc>
          <w:tcPr>
            <w:tcW w:w="7920" w:type="dxa"/>
          </w:tcPr>
          <w:p w14:paraId="76254A53" w14:textId="77777777" w:rsidR="00A56FDE" w:rsidRPr="00137E98" w:rsidRDefault="00475594">
            <w:pPr>
              <w:spacing w:after="40" w:line="276" w:lineRule="auto"/>
              <w:rPr>
                <w:rFonts w:ascii="Arial" w:hAnsi="Arial" w:cs="Arial"/>
              </w:rPr>
            </w:pPr>
            <w:r w:rsidRPr="00137E98">
              <w:rPr>
                <w:rFonts w:ascii="Arial" w:hAnsi="Arial" w:cs="Arial"/>
              </w:rPr>
              <w:t xml:space="preserve">    References</w:t>
            </w:r>
          </w:p>
        </w:tc>
        <w:tc>
          <w:tcPr>
            <w:tcW w:w="1440" w:type="dxa"/>
          </w:tcPr>
          <w:p w14:paraId="0FA151C2" w14:textId="77777777" w:rsidR="00A56FDE" w:rsidRPr="00137E98" w:rsidRDefault="00475594">
            <w:pPr>
              <w:spacing w:after="40" w:line="276" w:lineRule="auto"/>
              <w:jc w:val="right"/>
              <w:rPr>
                <w:rFonts w:ascii="Arial" w:hAnsi="Arial" w:cs="Arial"/>
              </w:rPr>
            </w:pPr>
            <w:r w:rsidRPr="00137E98">
              <w:rPr>
                <w:rFonts w:ascii="Arial" w:hAnsi="Arial" w:cs="Arial"/>
              </w:rPr>
              <w:t>30</w:t>
            </w:r>
          </w:p>
        </w:tc>
      </w:tr>
      <w:tr w:rsidR="00A56FDE" w:rsidRPr="00137E98" w14:paraId="1A50BD52" w14:textId="77777777">
        <w:trPr>
          <w:jc w:val="center"/>
        </w:trPr>
        <w:tc>
          <w:tcPr>
            <w:tcW w:w="7920" w:type="dxa"/>
          </w:tcPr>
          <w:p w14:paraId="7BFFF611" w14:textId="77777777" w:rsidR="00A56FDE" w:rsidRPr="00137E98" w:rsidRDefault="00475594">
            <w:pPr>
              <w:spacing w:after="40" w:line="276" w:lineRule="auto"/>
              <w:rPr>
                <w:rFonts w:ascii="Arial" w:hAnsi="Arial" w:cs="Arial"/>
              </w:rPr>
            </w:pPr>
            <w:r w:rsidRPr="00137E98">
              <w:rPr>
                <w:rFonts w:ascii="Arial" w:hAnsi="Arial" w:cs="Arial"/>
                <w:b/>
              </w:rPr>
              <w:t>CHAPTER III: RESEARCH METHODOLOGY</w:t>
            </w:r>
          </w:p>
        </w:tc>
        <w:tc>
          <w:tcPr>
            <w:tcW w:w="1440" w:type="dxa"/>
          </w:tcPr>
          <w:p w14:paraId="258FD7A6" w14:textId="77777777" w:rsidR="00A56FDE" w:rsidRPr="00137E98" w:rsidRDefault="00475594">
            <w:pPr>
              <w:spacing w:after="40" w:line="276" w:lineRule="auto"/>
              <w:jc w:val="right"/>
              <w:rPr>
                <w:rFonts w:ascii="Arial" w:hAnsi="Arial" w:cs="Arial"/>
              </w:rPr>
            </w:pPr>
            <w:r w:rsidRPr="00137E98">
              <w:rPr>
                <w:rFonts w:ascii="Arial" w:hAnsi="Arial" w:cs="Arial"/>
                <w:b/>
              </w:rPr>
              <w:t>34</w:t>
            </w:r>
          </w:p>
        </w:tc>
      </w:tr>
      <w:tr w:rsidR="00A56FDE" w:rsidRPr="00137E98" w14:paraId="50F9ACD8" w14:textId="77777777">
        <w:trPr>
          <w:jc w:val="center"/>
        </w:trPr>
        <w:tc>
          <w:tcPr>
            <w:tcW w:w="7920" w:type="dxa"/>
          </w:tcPr>
          <w:p w14:paraId="267BA73E" w14:textId="77777777" w:rsidR="00A56FDE" w:rsidRPr="00137E98" w:rsidRDefault="00475594">
            <w:pPr>
              <w:spacing w:after="40" w:line="276" w:lineRule="auto"/>
              <w:rPr>
                <w:rFonts w:ascii="Arial" w:hAnsi="Arial" w:cs="Arial"/>
              </w:rPr>
            </w:pPr>
            <w:r w:rsidRPr="00137E98">
              <w:rPr>
                <w:rFonts w:ascii="Arial" w:hAnsi="Arial" w:cs="Arial"/>
              </w:rPr>
              <w:t xml:space="preserve">    Software Development Methodology (Agile Scrum)</w:t>
            </w:r>
          </w:p>
        </w:tc>
        <w:tc>
          <w:tcPr>
            <w:tcW w:w="1440" w:type="dxa"/>
          </w:tcPr>
          <w:p w14:paraId="70CBAEB1" w14:textId="77777777" w:rsidR="00A56FDE" w:rsidRPr="00137E98" w:rsidRDefault="00475594">
            <w:pPr>
              <w:spacing w:after="40" w:line="276" w:lineRule="auto"/>
              <w:jc w:val="right"/>
              <w:rPr>
                <w:rFonts w:ascii="Arial" w:hAnsi="Arial" w:cs="Arial"/>
              </w:rPr>
            </w:pPr>
            <w:r w:rsidRPr="00137E98">
              <w:rPr>
                <w:rFonts w:ascii="Arial" w:hAnsi="Arial" w:cs="Arial"/>
              </w:rPr>
              <w:t>34</w:t>
            </w:r>
          </w:p>
        </w:tc>
      </w:tr>
      <w:tr w:rsidR="00A56FDE" w:rsidRPr="00137E98" w14:paraId="1BE50B86" w14:textId="77777777">
        <w:trPr>
          <w:jc w:val="center"/>
        </w:trPr>
        <w:tc>
          <w:tcPr>
            <w:tcW w:w="7920" w:type="dxa"/>
          </w:tcPr>
          <w:p w14:paraId="1568ADB8" w14:textId="77777777" w:rsidR="00A56FDE" w:rsidRPr="00137E98" w:rsidRDefault="00475594">
            <w:pPr>
              <w:spacing w:after="40" w:line="276" w:lineRule="auto"/>
              <w:rPr>
                <w:rFonts w:ascii="Arial" w:hAnsi="Arial" w:cs="Arial"/>
              </w:rPr>
            </w:pPr>
            <w:r w:rsidRPr="00137E98">
              <w:rPr>
                <w:rFonts w:ascii="Arial" w:hAnsi="Arial" w:cs="Arial"/>
              </w:rPr>
              <w:t xml:space="preserve">    Agile Sprint Development Plan (Sprints 1 to 7)</w:t>
            </w:r>
          </w:p>
        </w:tc>
        <w:tc>
          <w:tcPr>
            <w:tcW w:w="1440" w:type="dxa"/>
          </w:tcPr>
          <w:p w14:paraId="6BDD17C0" w14:textId="77777777" w:rsidR="00A56FDE" w:rsidRPr="00137E98" w:rsidRDefault="00475594">
            <w:pPr>
              <w:spacing w:after="40" w:line="276" w:lineRule="auto"/>
              <w:jc w:val="right"/>
              <w:rPr>
                <w:rFonts w:ascii="Arial" w:hAnsi="Arial" w:cs="Arial"/>
              </w:rPr>
            </w:pPr>
            <w:r w:rsidRPr="00137E98">
              <w:rPr>
                <w:rFonts w:ascii="Arial" w:hAnsi="Arial" w:cs="Arial"/>
              </w:rPr>
              <w:t>35</w:t>
            </w:r>
          </w:p>
        </w:tc>
      </w:tr>
      <w:tr w:rsidR="00A56FDE" w:rsidRPr="00137E98" w14:paraId="3B865044" w14:textId="77777777">
        <w:trPr>
          <w:jc w:val="center"/>
        </w:trPr>
        <w:tc>
          <w:tcPr>
            <w:tcW w:w="7920" w:type="dxa"/>
          </w:tcPr>
          <w:p w14:paraId="3CF7E760" w14:textId="77777777" w:rsidR="00A56FDE" w:rsidRPr="00137E98" w:rsidRDefault="00475594">
            <w:pPr>
              <w:spacing w:after="40" w:line="276" w:lineRule="auto"/>
              <w:rPr>
                <w:rFonts w:ascii="Arial" w:hAnsi="Arial" w:cs="Arial"/>
              </w:rPr>
            </w:pPr>
            <w:r w:rsidRPr="00137E98">
              <w:rPr>
                <w:rFonts w:ascii="Arial" w:hAnsi="Arial" w:cs="Arial"/>
              </w:rPr>
              <w:t xml:space="preserve">    Functional Decomposition Diagram (FDD)</w:t>
            </w:r>
          </w:p>
        </w:tc>
        <w:tc>
          <w:tcPr>
            <w:tcW w:w="1440" w:type="dxa"/>
          </w:tcPr>
          <w:p w14:paraId="0D742399" w14:textId="77777777" w:rsidR="00A56FDE" w:rsidRPr="00137E98" w:rsidRDefault="00475594">
            <w:pPr>
              <w:spacing w:after="40" w:line="276" w:lineRule="auto"/>
              <w:jc w:val="right"/>
              <w:rPr>
                <w:rFonts w:ascii="Arial" w:hAnsi="Arial" w:cs="Arial"/>
              </w:rPr>
            </w:pPr>
            <w:r w:rsidRPr="00137E98">
              <w:rPr>
                <w:rFonts w:ascii="Arial" w:hAnsi="Arial" w:cs="Arial"/>
              </w:rPr>
              <w:t>42</w:t>
            </w:r>
          </w:p>
        </w:tc>
      </w:tr>
      <w:tr w:rsidR="00A56FDE" w:rsidRPr="00137E98" w14:paraId="65F516CE" w14:textId="77777777">
        <w:trPr>
          <w:jc w:val="center"/>
        </w:trPr>
        <w:tc>
          <w:tcPr>
            <w:tcW w:w="7920" w:type="dxa"/>
          </w:tcPr>
          <w:p w14:paraId="2AC21693" w14:textId="77777777" w:rsidR="00A56FDE" w:rsidRPr="00137E98" w:rsidRDefault="00475594">
            <w:pPr>
              <w:spacing w:after="40" w:line="276" w:lineRule="auto"/>
              <w:rPr>
                <w:rFonts w:ascii="Arial" w:hAnsi="Arial" w:cs="Arial"/>
              </w:rPr>
            </w:pPr>
            <w:r w:rsidRPr="00137E98">
              <w:rPr>
                <w:rFonts w:ascii="Arial" w:hAnsi="Arial" w:cs="Arial"/>
              </w:rPr>
              <w:t xml:space="preserve">    Use Case Diagrams and Use Case Matrix</w:t>
            </w:r>
          </w:p>
        </w:tc>
        <w:tc>
          <w:tcPr>
            <w:tcW w:w="1440" w:type="dxa"/>
          </w:tcPr>
          <w:p w14:paraId="72E8BF05" w14:textId="77777777" w:rsidR="00A56FDE" w:rsidRPr="00137E98" w:rsidRDefault="00475594">
            <w:pPr>
              <w:spacing w:after="40" w:line="276" w:lineRule="auto"/>
              <w:jc w:val="right"/>
              <w:rPr>
                <w:rFonts w:ascii="Arial" w:hAnsi="Arial" w:cs="Arial"/>
              </w:rPr>
            </w:pPr>
            <w:r w:rsidRPr="00137E98">
              <w:rPr>
                <w:rFonts w:ascii="Arial" w:hAnsi="Arial" w:cs="Arial"/>
              </w:rPr>
              <w:t>45</w:t>
            </w:r>
          </w:p>
        </w:tc>
      </w:tr>
      <w:tr w:rsidR="00A56FDE" w:rsidRPr="00137E98" w14:paraId="56DAC1A5" w14:textId="77777777">
        <w:trPr>
          <w:jc w:val="center"/>
        </w:trPr>
        <w:tc>
          <w:tcPr>
            <w:tcW w:w="7920" w:type="dxa"/>
          </w:tcPr>
          <w:p w14:paraId="0678BD92" w14:textId="77777777" w:rsidR="00A56FDE" w:rsidRPr="00137E98" w:rsidRDefault="00475594">
            <w:pPr>
              <w:spacing w:after="40" w:line="276" w:lineRule="auto"/>
              <w:rPr>
                <w:rFonts w:ascii="Arial" w:hAnsi="Arial" w:cs="Arial"/>
              </w:rPr>
            </w:pPr>
            <w:r w:rsidRPr="00137E98">
              <w:rPr>
                <w:rFonts w:ascii="Arial" w:hAnsi="Arial" w:cs="Arial"/>
              </w:rPr>
              <w:t xml:space="preserve">    Database Design &amp; Architecture</w:t>
            </w:r>
          </w:p>
        </w:tc>
        <w:tc>
          <w:tcPr>
            <w:tcW w:w="1440" w:type="dxa"/>
          </w:tcPr>
          <w:p w14:paraId="610D509F" w14:textId="77777777" w:rsidR="00A56FDE" w:rsidRPr="00137E98" w:rsidRDefault="00475594">
            <w:pPr>
              <w:spacing w:after="40" w:line="276" w:lineRule="auto"/>
              <w:jc w:val="right"/>
              <w:rPr>
                <w:rFonts w:ascii="Arial" w:hAnsi="Arial" w:cs="Arial"/>
              </w:rPr>
            </w:pPr>
            <w:r w:rsidRPr="00137E98">
              <w:rPr>
                <w:rFonts w:ascii="Arial" w:hAnsi="Arial" w:cs="Arial"/>
              </w:rPr>
              <w:t>50</w:t>
            </w:r>
          </w:p>
        </w:tc>
      </w:tr>
      <w:tr w:rsidR="00A56FDE" w:rsidRPr="00137E98" w14:paraId="1C9A2A8F" w14:textId="77777777">
        <w:trPr>
          <w:jc w:val="center"/>
        </w:trPr>
        <w:tc>
          <w:tcPr>
            <w:tcW w:w="7920" w:type="dxa"/>
          </w:tcPr>
          <w:p w14:paraId="2143C7A3" w14:textId="77777777" w:rsidR="00A56FDE" w:rsidRPr="00137E98" w:rsidRDefault="00475594">
            <w:pPr>
              <w:spacing w:after="40" w:line="276" w:lineRule="auto"/>
              <w:rPr>
                <w:rFonts w:ascii="Arial" w:hAnsi="Arial" w:cs="Arial"/>
              </w:rPr>
            </w:pPr>
            <w:r w:rsidRPr="00137E98">
              <w:rPr>
                <w:rFonts w:ascii="Arial" w:hAnsi="Arial" w:cs="Arial"/>
              </w:rPr>
              <w:t xml:space="preserve">    Technology Stack Development</w:t>
            </w:r>
          </w:p>
        </w:tc>
        <w:tc>
          <w:tcPr>
            <w:tcW w:w="1440" w:type="dxa"/>
          </w:tcPr>
          <w:p w14:paraId="404E72E2" w14:textId="77777777" w:rsidR="00A56FDE" w:rsidRPr="00137E98" w:rsidRDefault="00475594">
            <w:pPr>
              <w:spacing w:after="40" w:line="276" w:lineRule="auto"/>
              <w:jc w:val="right"/>
              <w:rPr>
                <w:rFonts w:ascii="Arial" w:hAnsi="Arial" w:cs="Arial"/>
              </w:rPr>
            </w:pPr>
            <w:r w:rsidRPr="00137E98">
              <w:rPr>
                <w:rFonts w:ascii="Arial" w:hAnsi="Arial" w:cs="Arial"/>
              </w:rPr>
              <w:t>55</w:t>
            </w:r>
          </w:p>
        </w:tc>
      </w:tr>
    </w:tbl>
    <w:p w14:paraId="615F7D59" w14:textId="77777777" w:rsidR="00A56FDE" w:rsidRPr="00137E98" w:rsidRDefault="00475594">
      <w:pPr>
        <w:rPr>
          <w:rFonts w:ascii="Arial" w:hAnsi="Arial" w:cs="Arial"/>
        </w:rPr>
      </w:pPr>
      <w:r w:rsidRPr="00137E98">
        <w:rPr>
          <w:rFonts w:ascii="Arial" w:hAnsi="Arial" w:cs="Arial"/>
        </w:rPr>
        <w:br w:type="page"/>
      </w:r>
    </w:p>
    <w:p w14:paraId="2758B186" w14:textId="77777777" w:rsidR="00A56FDE" w:rsidRPr="00137E98" w:rsidRDefault="00475594">
      <w:pPr>
        <w:jc w:val="center"/>
        <w:rPr>
          <w:rFonts w:ascii="Arial" w:hAnsi="Arial" w:cs="Arial"/>
        </w:rPr>
      </w:pPr>
      <w:r w:rsidRPr="00137E98">
        <w:rPr>
          <w:rFonts w:ascii="Arial" w:hAnsi="Arial" w:cs="Arial"/>
          <w:b/>
          <w:sz w:val="28"/>
        </w:rPr>
        <w:lastRenderedPageBreak/>
        <w:t>CHAPTER I</w:t>
      </w:r>
      <w:r w:rsidRPr="00137E98">
        <w:rPr>
          <w:rFonts w:ascii="Arial" w:hAnsi="Arial" w:cs="Arial"/>
          <w:b/>
          <w:sz w:val="28"/>
        </w:rPr>
        <w:br/>
        <w:t>INTRODUCTION</w:t>
      </w:r>
      <w:r w:rsidRPr="00137E98">
        <w:rPr>
          <w:rFonts w:ascii="Arial" w:hAnsi="Arial" w:cs="Arial"/>
          <w:b/>
          <w:sz w:val="28"/>
        </w:rPr>
        <w:br/>
      </w:r>
    </w:p>
    <w:tbl>
      <w:tblPr>
        <w:tblW w:w="0" w:type="auto"/>
        <w:jc w:val="center"/>
        <w:tblLayout w:type="fixed"/>
        <w:tblLook w:val="04A0" w:firstRow="1" w:lastRow="0" w:firstColumn="1" w:lastColumn="0" w:noHBand="0" w:noVBand="1"/>
      </w:tblPr>
      <w:tblGrid>
        <w:gridCol w:w="9360"/>
      </w:tblGrid>
      <w:tr w:rsidR="00A56FDE" w:rsidRPr="00137E98" w14:paraId="46B2BAE3" w14:textId="77777777">
        <w:trPr>
          <w:jc w:val="center"/>
        </w:trPr>
        <w:tc>
          <w:tcPr>
            <w:tcW w:w="9360" w:type="dxa"/>
            <w:shd w:val="clear" w:color="auto" w:fill="F0F4F8"/>
            <w:tcMar>
              <w:top w:w="120" w:type="dxa"/>
              <w:left w:w="180" w:type="dxa"/>
              <w:bottom w:w="120" w:type="dxa"/>
              <w:right w:w="180" w:type="dxa"/>
            </w:tcMar>
          </w:tcPr>
          <w:p w14:paraId="109F34A1" w14:textId="77777777" w:rsidR="00A56FDE" w:rsidRPr="00137E98" w:rsidRDefault="00475594">
            <w:pPr>
              <w:spacing w:after="40" w:line="276" w:lineRule="auto"/>
              <w:rPr>
                <w:rFonts w:ascii="Arial" w:hAnsi="Arial" w:cs="Arial"/>
              </w:rPr>
            </w:pPr>
            <w:r w:rsidRPr="00137E98">
              <w:rPr>
                <w:rFonts w:ascii="Segoe UI Emoji" w:hAnsi="Segoe UI Emoji" w:cs="Segoe UI Emoji"/>
                <w:b/>
                <w:color w:val="2B4C7E"/>
                <w:sz w:val="21"/>
              </w:rPr>
              <w:t>📌</w:t>
            </w:r>
            <w:r w:rsidRPr="00137E98">
              <w:rPr>
                <w:rFonts w:ascii="Arial" w:hAnsi="Arial" w:cs="Arial"/>
                <w:b/>
                <w:color w:val="2B4C7E"/>
                <w:sz w:val="21"/>
              </w:rPr>
              <w:t xml:space="preserve"> RESEARCHER'S NOTE ON PENDING ON-SITE FACILITY DATA:</w:t>
            </w:r>
            <w:r w:rsidRPr="00137E98">
              <w:rPr>
                <w:rFonts w:ascii="Arial" w:hAnsi="Arial" w:cs="Arial"/>
                <w:b/>
                <w:color w:val="2B4C7E"/>
                <w:sz w:val="21"/>
              </w:rPr>
              <w:br/>
            </w:r>
            <w:r w:rsidRPr="00137E98">
              <w:rPr>
                <w:rFonts w:ascii="Arial" w:hAnsi="Arial" w:cs="Arial"/>
                <w:i/>
                <w:color w:val="323232"/>
                <w:sz w:val="20"/>
              </w:rPr>
              <w:t>Specific empirical figures in the Background of the Study (such as average monthly patient census volume, exact staffing complement per shift, precise dates of formal field observations, and statistical survey response ratios) are currently marked with placeholders ([...]). These figures will be formally encoded and updated upon completion of the approved on-site hospital data gathering, key informant interviews, and administrative clearance at Tupi Municipal Hospital.</w:t>
            </w:r>
          </w:p>
        </w:tc>
      </w:tr>
    </w:tbl>
    <w:p w14:paraId="51B86B5C" w14:textId="77777777" w:rsidR="00A56FDE" w:rsidRPr="00137E98" w:rsidRDefault="00A56FDE">
      <w:pPr>
        <w:rPr>
          <w:rFonts w:ascii="Arial" w:hAnsi="Arial" w:cs="Arial"/>
        </w:rPr>
      </w:pPr>
    </w:p>
    <w:p w14:paraId="2AFB7A8B" w14:textId="77777777" w:rsidR="00A56FDE" w:rsidRPr="00137E98" w:rsidRDefault="00475594">
      <w:pPr>
        <w:rPr>
          <w:rFonts w:ascii="Arial" w:hAnsi="Arial" w:cs="Arial"/>
        </w:rPr>
      </w:pPr>
      <w:r w:rsidRPr="00137E98">
        <w:rPr>
          <w:rFonts w:ascii="Arial" w:hAnsi="Arial" w:cs="Arial"/>
          <w:b/>
        </w:rPr>
        <w:t>Background of the Study</w:t>
      </w:r>
    </w:p>
    <w:p w14:paraId="0C990356" w14:textId="77777777" w:rsidR="00A56FDE" w:rsidRPr="00137E98" w:rsidRDefault="00475594">
      <w:pPr>
        <w:rPr>
          <w:rFonts w:ascii="Arial" w:hAnsi="Arial" w:cs="Arial"/>
        </w:rPr>
      </w:pPr>
      <w:r w:rsidRPr="00137E98">
        <w:rPr>
          <w:rFonts w:ascii="Arial" w:hAnsi="Arial" w:cs="Arial"/>
        </w:rPr>
        <w:t>The study presents the Tupi Municipal Hospital Information System (TMHIS), a web-based hospital information system developed for Tupi Municipal Hospital in Poblacion, Tupi, South Cotabato. The system is designed to consolidate patient registration, electronic medical records, walk-in consultation queueing, laboratory services, pharmacy dispensing and inventory, billing, inter-departmental coordination, and operational reporting into a single role-controlled platform. Its core purpose is to replace the hospi</w:t>
      </w:r>
      <w:r w:rsidRPr="00137E98">
        <w:rPr>
          <w:rFonts w:ascii="Arial" w:hAnsi="Arial" w:cs="Arial"/>
        </w:rPr>
        <w:t>tal's manual, paper-based and department-isolated record processes with one shared digital record that follows the patient through the entire service visit.</w:t>
      </w:r>
    </w:p>
    <w:p w14:paraId="6521AFBD" w14:textId="77777777" w:rsidR="00A56FDE" w:rsidRPr="00137E98" w:rsidRDefault="00475594">
      <w:pPr>
        <w:rPr>
          <w:rFonts w:ascii="Arial" w:hAnsi="Arial" w:cs="Arial"/>
        </w:rPr>
      </w:pPr>
      <w:r w:rsidRPr="00137E98">
        <w:rPr>
          <w:rFonts w:ascii="Arial" w:hAnsi="Arial" w:cs="Arial"/>
        </w:rPr>
        <w:t>Tupi Municipal Hospital is a local government–operated health facility serving the municipality of Tupi and its surrounding barangays, providing outpatient consultation, laboratory, pharmacy, and inpatient services to [Pending on-site data: average daily/monthly patient volume] patients with a staff complement of [Pending on-site data: number of personnel] across its admitting, medical records, nursing, laboratory, pharmacy, and billing units. Under the hospital's current process, an arriving patient dictat</w:t>
      </w:r>
      <w:r w:rsidRPr="00137E98">
        <w:rPr>
          <w:rFonts w:ascii="Arial" w:hAnsi="Arial" w:cs="Arial"/>
        </w:rPr>
        <w:t>es personal and demographic details to the admitting staff, who records them on a paper intake form and copies the same entries into a bound logbook; returning patients are located by leafing back through previous logbook pages. Once admitted to the queue, the patient's physical folder is retrieved from the records room and physically carried to the consulting physician. Laboratory requests are handwritten on request slips and hand-carried by the patient or staff to the laboratory, where results are written</w:t>
      </w:r>
      <w:r w:rsidRPr="00137E98">
        <w:rPr>
          <w:rFonts w:ascii="Arial" w:hAnsi="Arial" w:cs="Arial"/>
        </w:rPr>
        <w:t xml:space="preserve"> on </w:t>
      </w:r>
      <w:r w:rsidRPr="00137E98">
        <w:rPr>
          <w:rFonts w:ascii="Arial" w:hAnsi="Arial" w:cs="Arial"/>
        </w:rPr>
        <w:lastRenderedPageBreak/>
        <w:t>result forms and physically returned for insertion into the folder. Prescriptions are handwritten and presented at the pharmacy window, where dispensing is deducted manually from physical stock cards. At the end of the visit, billing staff compute charges by hand from the service slips accumulated during the visit, apply any applicable PhilHealth benefit deduction, and issue a manually prepared receipt. Each department maintains its own separate register of the same visit.</w:t>
      </w:r>
    </w:p>
    <w:p w14:paraId="585FDA06" w14:textId="77777777" w:rsidR="00A56FDE" w:rsidRPr="00137E98" w:rsidRDefault="00475594">
      <w:pPr>
        <w:rPr>
          <w:rFonts w:ascii="Arial" w:hAnsi="Arial" w:cs="Arial"/>
        </w:rPr>
      </w:pPr>
      <w:r w:rsidRPr="00137E98">
        <w:rPr>
          <w:rFonts w:ascii="Arial" w:hAnsi="Arial" w:cs="Arial"/>
        </w:rPr>
        <w:t>This manual process has produced several recurring problems for the hospital. (1) Handwritten registration and logbook entry create processing delays at the admitting counter and cause returning patients to be re-registered as new entries, producing duplicate records for the same person. (2) Because patient information is held in physical folders, records are difficult to update and frequently become incomplete, illegible, or outdated, and a folder in use by one department is unavailable to every other depa</w:t>
      </w:r>
      <w:r w:rsidRPr="00137E98">
        <w:rPr>
          <w:rFonts w:ascii="Arial" w:hAnsi="Arial" w:cs="Arial"/>
        </w:rPr>
        <w:t>rtment at the same time. (3) Medical records, consultation notes, laboratory results, prescriptions, and treatment histories are stored in separate physical files across departments, making retrieval and patient-history review slow and, in some cases, impossible within the same service day. (4) Manual prescription handling and stock-card inventory monitoring result in stock discrepancies, medicines discovered to be expired only on inspection, and delays in dispensing. (5) Manual billing computation, PhilHea</w:t>
      </w:r>
      <w:r w:rsidRPr="00137E98">
        <w:rPr>
          <w:rFonts w:ascii="Arial" w:hAnsi="Arial" w:cs="Arial"/>
        </w:rPr>
        <w:t>lth deduction, and receipt preparation are time-consuming and vulnerable to arithmetic error and to the loss of transaction records. (6) With no shared platform, the same patient details are re-encoded by each department and information is relayed between units by verbal instruction or hand-carried paper, leaving no traceable record of the hand-off. (7) The hospital lacks an automated reporting capability, so daily patient census, monthly revenue summaries, laboratory utilization, and pharmacy stock reports</w:t>
      </w:r>
      <w:r w:rsidRPr="00137E98">
        <w:rPr>
          <w:rFonts w:ascii="Arial" w:hAnsi="Arial" w:cs="Arial"/>
        </w:rPr>
        <w:t xml:space="preserve"> must be compiled by hand from multiple registers. During [Pending on-site verification: formal interviews/observation conducted on site], hospital personnel confirmed that [Pending on-site data: quantitative survey figure / supporting respondent ratio]. The consequence is extended patient waiting time, unreliable patient histories at the point of care, avoidable financial and inventory discrepancies, and an administrative reporting burden that delays management decision-making.</w:t>
      </w:r>
    </w:p>
    <w:p w14:paraId="703BF563" w14:textId="77777777" w:rsidR="00A56FDE" w:rsidRPr="00137E98" w:rsidRDefault="00475594">
      <w:pPr>
        <w:rPr>
          <w:rFonts w:ascii="Arial" w:hAnsi="Arial" w:cs="Arial"/>
        </w:rPr>
      </w:pPr>
      <w:r w:rsidRPr="00137E98">
        <w:rPr>
          <w:rFonts w:ascii="Arial" w:hAnsi="Arial" w:cs="Arial"/>
        </w:rPr>
        <w:lastRenderedPageBreak/>
        <w:t xml:space="preserve">To address these concerns, the proposed Tupi Municipal Hospital Information System will automate and unify the hospital's clinical and administrative processes on a single web-based platform. To address the delays and duplication in intake, the system provides Automated Patient Registration and Digital Identification, which issues a unique patient identification number and retrieves returning patients by search rather than by page-turning. To address incomplete and inaccessible records, the system provides </w:t>
      </w:r>
      <w:r w:rsidRPr="00137E98">
        <w:rPr>
          <w:rFonts w:ascii="Arial" w:hAnsi="Arial" w:cs="Arial"/>
        </w:rPr>
        <w:t>Electronic Medical Records that can be read and updated concurrently by authorized personnel across departments. To address the fragmentation of the service visit, the system provides Unified Medical Information Access, linking walk-in consultation requests, staff-managed queueing, laboratory requests and results, and treatment history to one patient record. To address stock and dispensing discrepancies, the Pharmacy and Inventory module deducts dispensed quantities automatically and raises low-stock and ne</w:t>
      </w:r>
      <w:r w:rsidRPr="00137E98">
        <w:rPr>
          <w:rFonts w:ascii="Arial" w:hAnsi="Arial" w:cs="Arial"/>
        </w:rPr>
        <w:t>ar-expiry alerts. To address computation errors, the Billing and Payment module computes charges from services rendered, applies the PhilHealth benefit deduction encoded by billing staff, and generates invoices and receipts. Finally, Inter-Departmental Communication and Task Routing and Automated Report Generation replace verbal relay and manual tallying with traceable digital hand-offs and system-generated reports. With these features, the system is expected to reduce patient waiting time, improve the accu</w:t>
      </w:r>
      <w:r w:rsidRPr="00137E98">
        <w:rPr>
          <w:rFonts w:ascii="Arial" w:hAnsi="Arial" w:cs="Arial"/>
        </w:rPr>
        <w:t>racy and availability of patient information, eliminate redundant encoding across departments, and give hospital administrators timely and reliable operational data for decision-making.</w:t>
      </w:r>
    </w:p>
    <w:p w14:paraId="4741D5AB" w14:textId="77777777" w:rsidR="00A56FDE" w:rsidRPr="00137E98" w:rsidRDefault="00475594">
      <w:pPr>
        <w:rPr>
          <w:rFonts w:ascii="Arial" w:hAnsi="Arial" w:cs="Arial"/>
        </w:rPr>
      </w:pPr>
      <w:r w:rsidRPr="00137E98">
        <w:rPr>
          <w:rFonts w:ascii="Arial" w:hAnsi="Arial" w:cs="Arial"/>
          <w:b/>
        </w:rPr>
        <w:t>Objectives of the Study</w:t>
      </w:r>
    </w:p>
    <w:p w14:paraId="43AEE0F4" w14:textId="77777777" w:rsidR="00A56FDE" w:rsidRPr="00137E98" w:rsidRDefault="00475594">
      <w:pPr>
        <w:rPr>
          <w:rFonts w:ascii="Arial" w:hAnsi="Arial" w:cs="Arial"/>
        </w:rPr>
      </w:pPr>
      <w:r w:rsidRPr="00137E98">
        <w:rPr>
          <w:rFonts w:ascii="Arial" w:hAnsi="Arial" w:cs="Arial"/>
          <w:b/>
        </w:rPr>
        <w:t>General Objective</w:t>
      </w:r>
    </w:p>
    <w:p w14:paraId="26F8D6B2" w14:textId="77777777" w:rsidR="00A56FDE" w:rsidRPr="00137E98" w:rsidRDefault="00475594">
      <w:pPr>
        <w:rPr>
          <w:rFonts w:ascii="Arial" w:hAnsi="Arial" w:cs="Arial"/>
        </w:rPr>
      </w:pPr>
      <w:r w:rsidRPr="00137E98">
        <w:rPr>
          <w:rFonts w:ascii="Arial" w:hAnsi="Arial" w:cs="Arial"/>
        </w:rPr>
        <w:t>This study aims to design, develop, and evaluate the Tupi Municipal Hospital Information System, a web-based platform for Tupi Municipal Hospital that unifies patient registration, medical records, walk-in consultation queueing, laboratory, pharmacy, billing, and reporting into a single system.</w:t>
      </w:r>
    </w:p>
    <w:p w14:paraId="33512D47" w14:textId="77777777" w:rsidR="00A56FDE" w:rsidRPr="00137E98" w:rsidRDefault="00475594">
      <w:pPr>
        <w:rPr>
          <w:rFonts w:ascii="Arial" w:hAnsi="Arial" w:cs="Arial"/>
        </w:rPr>
      </w:pPr>
      <w:r w:rsidRPr="00137E98">
        <w:rPr>
          <w:rFonts w:ascii="Arial" w:hAnsi="Arial" w:cs="Arial"/>
          <w:b/>
        </w:rPr>
        <w:t>Specific Objectives</w:t>
      </w:r>
    </w:p>
    <w:p w14:paraId="4C42C2A0" w14:textId="77777777" w:rsidR="00A56FDE" w:rsidRPr="00137E98" w:rsidRDefault="00475594">
      <w:pPr>
        <w:rPr>
          <w:rFonts w:ascii="Arial" w:hAnsi="Arial" w:cs="Arial"/>
        </w:rPr>
      </w:pPr>
      <w:r w:rsidRPr="00137E98">
        <w:rPr>
          <w:rFonts w:ascii="Arial" w:hAnsi="Arial" w:cs="Arial"/>
        </w:rPr>
        <w:t>Specifically, this study aims to:</w:t>
      </w:r>
    </w:p>
    <w:p w14:paraId="3831590E" w14:textId="77777777" w:rsidR="00A56FDE" w:rsidRPr="00137E98" w:rsidRDefault="00475594">
      <w:pPr>
        <w:ind w:left="360"/>
        <w:rPr>
          <w:rFonts w:ascii="Arial" w:hAnsi="Arial" w:cs="Arial"/>
        </w:rPr>
      </w:pPr>
      <w:r w:rsidRPr="00137E98">
        <w:rPr>
          <w:rFonts w:ascii="Arial" w:hAnsi="Arial" w:cs="Arial"/>
          <w:b/>
        </w:rPr>
        <w:lastRenderedPageBreak/>
        <w:t xml:space="preserve">1. Design </w:t>
      </w:r>
      <w:r w:rsidRPr="00137E98">
        <w:rPr>
          <w:rFonts w:ascii="Arial" w:hAnsi="Arial" w:cs="Arial"/>
        </w:rPr>
        <w:t>a relational database that securely stores patient demographic records, medical histories, laboratory results, prescriptions, medicine inventory, and billing transactions under a single patient identifier.</w:t>
      </w:r>
    </w:p>
    <w:p w14:paraId="58323B43" w14:textId="77777777" w:rsidR="00A56FDE" w:rsidRPr="00137E98" w:rsidRDefault="00475594">
      <w:pPr>
        <w:ind w:left="360"/>
        <w:rPr>
          <w:rFonts w:ascii="Arial" w:hAnsi="Arial" w:cs="Arial"/>
        </w:rPr>
      </w:pPr>
      <w:r w:rsidRPr="00137E98">
        <w:rPr>
          <w:rFonts w:ascii="Arial" w:hAnsi="Arial" w:cs="Arial"/>
          <w:b/>
        </w:rPr>
        <w:t xml:space="preserve">2. Develop </w:t>
      </w:r>
      <w:r w:rsidRPr="00137E98">
        <w:rPr>
          <w:rFonts w:ascii="Arial" w:hAnsi="Arial" w:cs="Arial"/>
        </w:rPr>
        <w:t>an automated patient registration module that generates unique patient identification numbers and retrieves existing records to prevent duplicate registration of returning patients.</w:t>
      </w:r>
    </w:p>
    <w:p w14:paraId="1A1856A1" w14:textId="77777777" w:rsidR="00A56FDE" w:rsidRPr="00137E98" w:rsidRDefault="00475594">
      <w:pPr>
        <w:ind w:left="360"/>
        <w:rPr>
          <w:rFonts w:ascii="Arial" w:hAnsi="Arial" w:cs="Arial"/>
        </w:rPr>
      </w:pPr>
      <w:r w:rsidRPr="00137E98">
        <w:rPr>
          <w:rFonts w:ascii="Arial" w:hAnsi="Arial" w:cs="Arial"/>
          <w:b/>
        </w:rPr>
        <w:t xml:space="preserve">3. Develop </w:t>
      </w:r>
      <w:r w:rsidRPr="00137E98">
        <w:rPr>
          <w:rFonts w:ascii="Arial" w:hAnsi="Arial" w:cs="Arial"/>
        </w:rPr>
        <w:t>an electronic medical records module that allows authorized personnel to record and retrieve consultation notes, diagnoses, treatments, allergies, and vaccination records in real time.</w:t>
      </w:r>
    </w:p>
    <w:p w14:paraId="32C0176F" w14:textId="77777777" w:rsidR="00A56FDE" w:rsidRPr="00137E98" w:rsidRDefault="00475594">
      <w:pPr>
        <w:ind w:left="360"/>
        <w:rPr>
          <w:rFonts w:ascii="Arial" w:hAnsi="Arial" w:cs="Arial"/>
        </w:rPr>
      </w:pPr>
      <w:r w:rsidRPr="00137E98">
        <w:rPr>
          <w:rFonts w:ascii="Arial" w:hAnsi="Arial" w:cs="Arial"/>
          <w:b/>
        </w:rPr>
        <w:t xml:space="preserve">4. Develop </w:t>
      </w:r>
      <w:r w:rsidRPr="00137E98">
        <w:rPr>
          <w:rFonts w:ascii="Arial" w:hAnsi="Arial" w:cs="Arial"/>
        </w:rPr>
        <w:t>a walk-in consultation request and queue management module that logs same-day patient arrivals, assigns queue numbers, and records staff-assigned follow-up visit dates.</w:t>
      </w:r>
    </w:p>
    <w:p w14:paraId="0E4FD8F7" w14:textId="77777777" w:rsidR="00A56FDE" w:rsidRPr="00137E98" w:rsidRDefault="00475594">
      <w:pPr>
        <w:ind w:left="360"/>
        <w:rPr>
          <w:rFonts w:ascii="Arial" w:hAnsi="Arial" w:cs="Arial"/>
        </w:rPr>
      </w:pPr>
      <w:r w:rsidRPr="00137E98">
        <w:rPr>
          <w:rFonts w:ascii="Arial" w:hAnsi="Arial" w:cs="Arial"/>
          <w:b/>
        </w:rPr>
        <w:t xml:space="preserve">5. Develop </w:t>
      </w:r>
      <w:r w:rsidRPr="00137E98">
        <w:rPr>
          <w:rFonts w:ascii="Arial" w:hAnsi="Arial" w:cs="Arial"/>
        </w:rPr>
        <w:t>a laboratory module that processes electronic test requests, tracks specimens through unique identifiers, and records validated results directly to the requesting patient's record.</w:t>
      </w:r>
    </w:p>
    <w:p w14:paraId="284334D4" w14:textId="77777777" w:rsidR="00A56FDE" w:rsidRPr="00137E98" w:rsidRDefault="00475594">
      <w:pPr>
        <w:ind w:left="360"/>
        <w:rPr>
          <w:rFonts w:ascii="Arial" w:hAnsi="Arial" w:cs="Arial"/>
        </w:rPr>
      </w:pPr>
      <w:r w:rsidRPr="00137E98">
        <w:rPr>
          <w:rFonts w:ascii="Arial" w:hAnsi="Arial" w:cs="Arial"/>
          <w:b/>
        </w:rPr>
        <w:t xml:space="preserve">6. Automate </w:t>
      </w:r>
      <w:r w:rsidRPr="00137E98">
        <w:rPr>
          <w:rFonts w:ascii="Arial" w:hAnsi="Arial" w:cs="Arial"/>
        </w:rPr>
        <w:t>prescription processing and medicine inventory control, including batch-level stock deduction on dispensing and configurable low-stock and near-expiry alerting.</w:t>
      </w:r>
    </w:p>
    <w:p w14:paraId="354E6C3A" w14:textId="77777777" w:rsidR="00A56FDE" w:rsidRPr="00137E98" w:rsidRDefault="00475594">
      <w:pPr>
        <w:ind w:left="360"/>
        <w:rPr>
          <w:rFonts w:ascii="Arial" w:hAnsi="Arial" w:cs="Arial"/>
        </w:rPr>
      </w:pPr>
      <w:r w:rsidRPr="00137E98">
        <w:rPr>
          <w:rFonts w:ascii="Arial" w:hAnsi="Arial" w:cs="Arial"/>
          <w:b/>
        </w:rPr>
        <w:t xml:space="preserve">7. Automate </w:t>
      </w:r>
      <w:r w:rsidRPr="00137E98">
        <w:rPr>
          <w:rFonts w:ascii="Arial" w:hAnsi="Arial" w:cs="Arial"/>
        </w:rPr>
        <w:t>the computation of patient charges, the application of encoded PhilHealth benefit deductions, and the generation of invoices and official receipts.</w:t>
      </w:r>
    </w:p>
    <w:p w14:paraId="1C9AC44A" w14:textId="77777777" w:rsidR="00A56FDE" w:rsidRPr="00137E98" w:rsidRDefault="00475594">
      <w:pPr>
        <w:ind w:left="360"/>
        <w:rPr>
          <w:rFonts w:ascii="Arial" w:hAnsi="Arial" w:cs="Arial"/>
        </w:rPr>
      </w:pPr>
      <w:r w:rsidRPr="00137E98">
        <w:rPr>
          <w:rFonts w:ascii="Arial" w:hAnsi="Arial" w:cs="Arial"/>
          <w:b/>
        </w:rPr>
        <w:t xml:space="preserve">8. Implement </w:t>
      </w:r>
      <w:r w:rsidRPr="00137E98">
        <w:rPr>
          <w:rFonts w:ascii="Arial" w:hAnsi="Arial" w:cs="Arial"/>
        </w:rPr>
        <w:t>role-based access control and inter-departmental task routing so that each of the system's nine user roles accesses only its authorized functions and all hand-offs are logged.</w:t>
      </w:r>
    </w:p>
    <w:p w14:paraId="78690ED7" w14:textId="77777777" w:rsidR="00A56FDE" w:rsidRPr="00137E98" w:rsidRDefault="00475594">
      <w:pPr>
        <w:ind w:left="360"/>
        <w:rPr>
          <w:rFonts w:ascii="Arial" w:hAnsi="Arial" w:cs="Arial"/>
        </w:rPr>
      </w:pPr>
      <w:r w:rsidRPr="00137E98">
        <w:rPr>
          <w:rFonts w:ascii="Arial" w:hAnsi="Arial" w:cs="Arial"/>
          <w:b/>
        </w:rPr>
        <w:t xml:space="preserve">9. Generate </w:t>
      </w:r>
      <w:r w:rsidRPr="00137E98">
        <w:rPr>
          <w:rFonts w:ascii="Arial" w:hAnsi="Arial" w:cs="Arial"/>
        </w:rPr>
        <w:t>operational reports including daily patient census, walk-in consultation summaries, laboratory utilization, pharmacy stock, and billing and revenue summaries.</w:t>
      </w:r>
    </w:p>
    <w:p w14:paraId="716B44A4" w14:textId="77777777" w:rsidR="00A56FDE" w:rsidRPr="00137E98" w:rsidRDefault="00475594">
      <w:pPr>
        <w:ind w:left="360"/>
        <w:rPr>
          <w:rFonts w:ascii="Arial" w:hAnsi="Arial" w:cs="Arial"/>
        </w:rPr>
      </w:pPr>
      <w:r w:rsidRPr="00137E98">
        <w:rPr>
          <w:rFonts w:ascii="Arial" w:hAnsi="Arial" w:cs="Arial"/>
          <w:b/>
        </w:rPr>
        <w:t xml:space="preserve">10. </w:t>
      </w:r>
      <w:r w:rsidRPr="00137E98">
        <w:rPr>
          <w:rFonts w:ascii="Arial" w:hAnsi="Arial" w:cs="Arial"/>
          <w:b/>
        </w:rPr>
        <w:t xml:space="preserve">Test and evaluate </w:t>
      </w:r>
      <w:r w:rsidRPr="00137E98">
        <w:rPr>
          <w:rFonts w:ascii="Arial" w:hAnsi="Arial" w:cs="Arial"/>
        </w:rPr>
        <w:t>the system's functionality, reliability, security, and usability with Tupi Municipal Hospital personnel based on ISO/IEC 25010 software quality standards.</w:t>
      </w:r>
    </w:p>
    <w:p w14:paraId="3B352F34" w14:textId="77777777" w:rsidR="00A56FDE" w:rsidRPr="00137E98" w:rsidRDefault="00475594">
      <w:pPr>
        <w:rPr>
          <w:rFonts w:ascii="Arial" w:hAnsi="Arial" w:cs="Arial"/>
        </w:rPr>
      </w:pPr>
      <w:r w:rsidRPr="00137E98">
        <w:rPr>
          <w:rFonts w:ascii="Arial" w:hAnsi="Arial" w:cs="Arial"/>
          <w:b/>
        </w:rPr>
        <w:lastRenderedPageBreak/>
        <w:t>Scope and Limitation of the Study</w:t>
      </w:r>
    </w:p>
    <w:p w14:paraId="0260BFD3" w14:textId="77777777" w:rsidR="00A56FDE" w:rsidRPr="00137E98" w:rsidRDefault="00475594">
      <w:pPr>
        <w:rPr>
          <w:rFonts w:ascii="Arial" w:hAnsi="Arial" w:cs="Arial"/>
        </w:rPr>
      </w:pPr>
      <w:r w:rsidRPr="00137E98">
        <w:rPr>
          <w:rFonts w:ascii="Arial" w:hAnsi="Arial" w:cs="Arial"/>
          <w:b/>
        </w:rPr>
        <w:t>Scope of the Study</w:t>
      </w:r>
    </w:p>
    <w:p w14:paraId="54ABC4A3" w14:textId="77777777" w:rsidR="00A56FDE" w:rsidRPr="00137E98" w:rsidRDefault="00475594">
      <w:pPr>
        <w:rPr>
          <w:rFonts w:ascii="Arial" w:hAnsi="Arial" w:cs="Arial"/>
        </w:rPr>
      </w:pPr>
      <w:r w:rsidRPr="00137E98">
        <w:rPr>
          <w:rFonts w:ascii="Arial" w:hAnsi="Arial" w:cs="Arial"/>
        </w:rPr>
        <w:t>This study covers the design, development, and evaluation of a web-based Tupi Municipal Hospital Information System intended for use by the administrative, clinical, diagnostic, pharmaceutical, and financial personnel of Tupi Municipal Hospital, Poblacion, Tupi, South Cotabato. The system operates within the hospital premises over its local network and is accessed by authorized staff through role-assigned accounts. The system covers the following features:</w:t>
      </w:r>
    </w:p>
    <w:p w14:paraId="5CA389E4" w14:textId="77777777" w:rsidR="00A56FDE" w:rsidRPr="00137E98" w:rsidRDefault="00475594">
      <w:pPr>
        <w:ind w:left="360"/>
        <w:rPr>
          <w:rFonts w:ascii="Arial" w:hAnsi="Arial" w:cs="Arial"/>
        </w:rPr>
      </w:pPr>
      <w:r w:rsidRPr="00137E98">
        <w:rPr>
          <w:rFonts w:ascii="Arial" w:hAnsi="Arial" w:cs="Arial"/>
          <w:b/>
        </w:rPr>
        <w:t xml:space="preserve">• Automated Patient Registration and Digital ID — </w:t>
      </w:r>
      <w:r w:rsidRPr="00137E98">
        <w:rPr>
          <w:rFonts w:ascii="Arial" w:hAnsi="Arial" w:cs="Arial"/>
        </w:rPr>
        <w:t>captures patient demographic and emergency-contact information through a digital intake form, generates a unique patient identification number, and retrieves returning patients by search.</w:t>
      </w:r>
    </w:p>
    <w:p w14:paraId="08EDD728" w14:textId="77777777" w:rsidR="00A56FDE" w:rsidRPr="00137E98" w:rsidRDefault="00475594">
      <w:pPr>
        <w:ind w:left="360"/>
        <w:rPr>
          <w:rFonts w:ascii="Arial" w:hAnsi="Arial" w:cs="Arial"/>
        </w:rPr>
      </w:pPr>
      <w:r w:rsidRPr="00137E98">
        <w:rPr>
          <w:rFonts w:ascii="Arial" w:hAnsi="Arial" w:cs="Arial"/>
          <w:b/>
        </w:rPr>
        <w:t xml:space="preserve">• Electronic Medical Records (EMR) — </w:t>
      </w:r>
      <w:r w:rsidRPr="00137E98">
        <w:rPr>
          <w:rFonts w:ascii="Arial" w:hAnsi="Arial" w:cs="Arial"/>
        </w:rPr>
        <w:t>stores and updates consultation notes, diagnoses, treatments, prescriptions, allergy records, and vaccination history against a single patient record.</w:t>
      </w:r>
    </w:p>
    <w:p w14:paraId="2763DF84" w14:textId="77777777" w:rsidR="00A56FDE" w:rsidRPr="00137E98" w:rsidRDefault="00475594">
      <w:pPr>
        <w:ind w:left="360"/>
        <w:rPr>
          <w:rFonts w:ascii="Arial" w:hAnsi="Arial" w:cs="Arial"/>
        </w:rPr>
      </w:pPr>
      <w:r w:rsidRPr="00137E98">
        <w:rPr>
          <w:rFonts w:ascii="Arial" w:hAnsi="Arial" w:cs="Arial"/>
          <w:b/>
        </w:rPr>
        <w:t xml:space="preserve">• Walk-In Consultation Request and Queue Management — </w:t>
      </w:r>
      <w:r w:rsidRPr="00137E98">
        <w:rPr>
          <w:rFonts w:ascii="Arial" w:hAnsi="Arial" w:cs="Arial"/>
        </w:rPr>
        <w:t>logs same-day walk-in arrivals, assigns and displays queue numbers, manages physician availability, records staff-assigned follow-up visit dates, and issues internal staff reminders.</w:t>
      </w:r>
    </w:p>
    <w:p w14:paraId="3D829775" w14:textId="77777777" w:rsidR="00A56FDE" w:rsidRPr="00137E98" w:rsidRDefault="00475594">
      <w:pPr>
        <w:ind w:left="360"/>
        <w:rPr>
          <w:rFonts w:ascii="Arial" w:hAnsi="Arial" w:cs="Arial"/>
        </w:rPr>
      </w:pPr>
      <w:r w:rsidRPr="00137E98">
        <w:rPr>
          <w:rFonts w:ascii="Arial" w:hAnsi="Arial" w:cs="Arial"/>
          <w:b/>
        </w:rPr>
        <w:t xml:space="preserve">• Laboratory Information Management — </w:t>
      </w:r>
      <w:r w:rsidRPr="00137E98">
        <w:rPr>
          <w:rFonts w:ascii="Arial" w:hAnsi="Arial" w:cs="Arial"/>
        </w:rPr>
        <w:t>processes digital test requests, assigns unique specimen identifiers, tracks sample status, records validated results, and returns results to the requesting patient record.</w:t>
      </w:r>
    </w:p>
    <w:p w14:paraId="55F92870" w14:textId="77777777" w:rsidR="00A56FDE" w:rsidRPr="00137E98" w:rsidRDefault="00475594">
      <w:pPr>
        <w:ind w:left="360"/>
        <w:rPr>
          <w:rFonts w:ascii="Arial" w:hAnsi="Arial" w:cs="Arial"/>
        </w:rPr>
      </w:pPr>
      <w:r w:rsidRPr="00137E98">
        <w:rPr>
          <w:rFonts w:ascii="Arial" w:hAnsi="Arial" w:cs="Arial"/>
          <w:b/>
        </w:rPr>
        <w:t xml:space="preserve">• Pharmacy and Inventory Management — </w:t>
      </w:r>
      <w:r w:rsidRPr="00137E98">
        <w:rPr>
          <w:rFonts w:ascii="Arial" w:hAnsi="Arial" w:cs="Arial"/>
        </w:rPr>
        <w:t>receives electronic prescriptions, records dispensing, deducts stock at batch level, and raises low-stock and near-expiry alerts.</w:t>
      </w:r>
    </w:p>
    <w:p w14:paraId="52912EB9" w14:textId="77777777" w:rsidR="00A56FDE" w:rsidRPr="00137E98" w:rsidRDefault="00475594">
      <w:pPr>
        <w:ind w:left="360"/>
        <w:rPr>
          <w:rFonts w:ascii="Arial" w:hAnsi="Arial" w:cs="Arial"/>
        </w:rPr>
      </w:pPr>
      <w:r w:rsidRPr="00137E98">
        <w:rPr>
          <w:rFonts w:ascii="Arial" w:hAnsi="Arial" w:cs="Arial"/>
          <w:b/>
        </w:rPr>
        <w:t xml:space="preserve">• Billing and Payment Processing — </w:t>
      </w:r>
      <w:r w:rsidRPr="00137E98">
        <w:rPr>
          <w:rFonts w:ascii="Arial" w:hAnsi="Arial" w:cs="Arial"/>
        </w:rPr>
        <w:t>computes charges from services rendered, applies the PhilHealth benefit deduction encoded by billing staff, records payments with transaction references, and generates invoices and official receipts.</w:t>
      </w:r>
    </w:p>
    <w:p w14:paraId="26BA4779" w14:textId="77777777" w:rsidR="00A56FDE" w:rsidRPr="00137E98" w:rsidRDefault="00475594">
      <w:pPr>
        <w:ind w:left="360"/>
        <w:rPr>
          <w:rFonts w:ascii="Arial" w:hAnsi="Arial" w:cs="Arial"/>
        </w:rPr>
      </w:pPr>
      <w:r w:rsidRPr="00137E98">
        <w:rPr>
          <w:rFonts w:ascii="Arial" w:hAnsi="Arial" w:cs="Arial"/>
          <w:b/>
        </w:rPr>
        <w:t xml:space="preserve">• Inter-Departmental Communication and Task Routing — </w:t>
      </w:r>
      <w:r w:rsidRPr="00137E98">
        <w:rPr>
          <w:rFonts w:ascii="Arial" w:hAnsi="Arial" w:cs="Arial"/>
        </w:rPr>
        <w:t>transmits referrals, task assignments, and patient status updates between departments with a traceable log of each hand-off.</w:t>
      </w:r>
    </w:p>
    <w:p w14:paraId="5354C5BF" w14:textId="77777777" w:rsidR="00A56FDE" w:rsidRPr="00137E98" w:rsidRDefault="00475594">
      <w:pPr>
        <w:ind w:left="360"/>
        <w:rPr>
          <w:rFonts w:ascii="Arial" w:hAnsi="Arial" w:cs="Arial"/>
        </w:rPr>
      </w:pPr>
      <w:r w:rsidRPr="00137E98">
        <w:rPr>
          <w:rFonts w:ascii="Arial" w:hAnsi="Arial" w:cs="Arial"/>
          <w:b/>
        </w:rPr>
        <w:lastRenderedPageBreak/>
        <w:t xml:space="preserve">• Automated Report Generation — </w:t>
      </w:r>
      <w:r w:rsidRPr="00137E98">
        <w:rPr>
          <w:rFonts w:ascii="Arial" w:hAnsi="Arial" w:cs="Arial"/>
        </w:rPr>
        <w:t>produces printable and exportable daily patient census, walk-in consultation summary, laboratory utilization, pharmacy stock, and billing and revenue reports.</w:t>
      </w:r>
    </w:p>
    <w:p w14:paraId="76331397" w14:textId="77777777" w:rsidR="00A56FDE" w:rsidRPr="00137E98" w:rsidRDefault="00475594">
      <w:pPr>
        <w:ind w:left="360"/>
        <w:rPr>
          <w:rFonts w:ascii="Arial" w:hAnsi="Arial" w:cs="Arial"/>
        </w:rPr>
      </w:pPr>
      <w:r w:rsidRPr="00137E98">
        <w:rPr>
          <w:rFonts w:ascii="Arial" w:hAnsi="Arial" w:cs="Arial"/>
          <w:b/>
        </w:rPr>
        <w:t xml:space="preserve">• User and Access Management — </w:t>
      </w:r>
      <w:r w:rsidRPr="00137E98">
        <w:rPr>
          <w:rFonts w:ascii="Arial" w:hAnsi="Arial" w:cs="Arial"/>
        </w:rPr>
        <w:t>supports account creation and role-based access control across the system's nine defined user roles, with audit logging and database backup.</w:t>
      </w:r>
    </w:p>
    <w:p w14:paraId="20837494" w14:textId="77777777" w:rsidR="00A56FDE" w:rsidRPr="00137E98" w:rsidRDefault="00475594">
      <w:pPr>
        <w:rPr>
          <w:rFonts w:ascii="Arial" w:hAnsi="Arial" w:cs="Arial"/>
        </w:rPr>
      </w:pPr>
      <w:r w:rsidRPr="00137E98">
        <w:rPr>
          <w:rFonts w:ascii="Arial" w:hAnsi="Arial" w:cs="Arial"/>
          <w:b/>
        </w:rPr>
        <w:t>Limitation of the Study</w:t>
      </w:r>
    </w:p>
    <w:p w14:paraId="6E1C1AD1" w14:textId="77777777" w:rsidR="00A56FDE" w:rsidRPr="00137E98" w:rsidRDefault="00475594">
      <w:pPr>
        <w:rPr>
          <w:rFonts w:ascii="Arial" w:hAnsi="Arial" w:cs="Arial"/>
        </w:rPr>
      </w:pPr>
      <w:r w:rsidRPr="00137E98">
        <w:rPr>
          <w:rFonts w:ascii="Arial" w:hAnsi="Arial" w:cs="Arial"/>
        </w:rPr>
        <w:t>This study is limited to the internal operations of Tupi Municipal Hospital and does not extend to any other health facility. The system does not provide patient-facing accounts, patient self-registration, or online appointment booking of any kind; all patients are received as walk-ins and all registration, queueing, and scheduling actions are performed by hospital staff on the patient's behalf. The system does not interface with the PhilHealth electronic claims portal and does not transmit, validate, or ad</w:t>
      </w:r>
      <w:r w:rsidRPr="00137E98">
        <w:rPr>
          <w:rFonts w:ascii="Arial" w:hAnsi="Arial" w:cs="Arial"/>
        </w:rPr>
        <w:t>judicate PhilHealth claims; benefit deductions are applied using values encoded by billing staff according to prevailing hospital billing practice, and are not automatically updated to reflect future PhilHealth circular changes. The system does not exchange data with the Department of Health's iHOMIS or iClinicSys platforms, with the National Health Data Repository, or with any external facility, and does not implement HL7 FHIR interoperability. It does not include artificial intelligence, machine learning,</w:t>
      </w:r>
      <w:r w:rsidRPr="00137E98">
        <w:rPr>
          <w:rFonts w:ascii="Arial" w:hAnsi="Arial" w:cs="Arial"/>
        </w:rPr>
        <w:t xml:space="preserve"> predictive analytics, or clinical decision-support functions; all computations are deterministic and rule-based. It does not cover telemedicine, teleconsultation, inpatient bed-management beyond record-keeping, human resource management, payroll, or hospital procurement. Operation requires functioning computer units and a working local network connection within the hospital, and the system is not designed for offline use. Testing and evaluation are limited to Tupi Municipal Hospital personnel within the pr</w:t>
      </w:r>
      <w:r w:rsidRPr="00137E98">
        <w:rPr>
          <w:rFonts w:ascii="Arial" w:hAnsi="Arial" w:cs="Arial"/>
        </w:rPr>
        <w:t>oject timeline, using the ISO/IEC 25010 quality criteria and the sample size available at the study site.</w:t>
      </w:r>
    </w:p>
    <w:p w14:paraId="473DC7F3" w14:textId="77777777" w:rsidR="00A56FDE" w:rsidRPr="00137E98" w:rsidRDefault="00475594">
      <w:pPr>
        <w:rPr>
          <w:rFonts w:ascii="Arial" w:hAnsi="Arial" w:cs="Arial"/>
        </w:rPr>
      </w:pPr>
      <w:r w:rsidRPr="00137E98">
        <w:rPr>
          <w:rFonts w:ascii="Arial" w:hAnsi="Arial" w:cs="Arial"/>
          <w:b/>
        </w:rPr>
        <w:t>Flow of the Study</w:t>
      </w:r>
    </w:p>
    <w:p w14:paraId="282C9137" w14:textId="77777777" w:rsidR="00A56FDE" w:rsidRPr="00137E98" w:rsidRDefault="00475594">
      <w:pPr>
        <w:jc w:val="center"/>
        <w:rPr>
          <w:rFonts w:ascii="Arial" w:hAnsi="Arial" w:cs="Arial"/>
        </w:rPr>
      </w:pPr>
      <w:r w:rsidRPr="00137E98">
        <w:rPr>
          <w:rFonts w:ascii="Arial" w:hAnsi="Arial" w:cs="Arial"/>
          <w:b/>
        </w:rPr>
        <w:t>Input–Process–Output (IPO) Conceptual Framework</w:t>
      </w:r>
    </w:p>
    <w:tbl>
      <w:tblPr>
        <w:tblW w:w="0" w:type="auto"/>
        <w:jc w:val="center"/>
        <w:tblLayout w:type="fixed"/>
        <w:tblLook w:val="04A0" w:firstRow="1" w:lastRow="0" w:firstColumn="1" w:lastColumn="0" w:noHBand="0" w:noVBand="1"/>
      </w:tblPr>
      <w:tblGrid>
        <w:gridCol w:w="3168"/>
        <w:gridCol w:w="3312"/>
        <w:gridCol w:w="2880"/>
      </w:tblGrid>
      <w:tr w:rsidR="00A56FDE" w:rsidRPr="00137E98" w14:paraId="56A1C685" w14:textId="77777777">
        <w:trPr>
          <w:jc w:val="center"/>
        </w:trPr>
        <w:tc>
          <w:tcPr>
            <w:tcW w:w="3168" w:type="dxa"/>
            <w:shd w:val="clear" w:color="auto" w:fill="2B4C7E"/>
            <w:tcMar>
              <w:top w:w="120" w:type="dxa"/>
              <w:left w:w="150" w:type="dxa"/>
              <w:bottom w:w="120" w:type="dxa"/>
              <w:right w:w="150" w:type="dxa"/>
            </w:tcMar>
          </w:tcPr>
          <w:p w14:paraId="50CBBFF3" w14:textId="77777777" w:rsidR="00A56FDE" w:rsidRPr="00137E98" w:rsidRDefault="00475594">
            <w:pPr>
              <w:jc w:val="center"/>
              <w:rPr>
                <w:rFonts w:ascii="Arial" w:hAnsi="Arial" w:cs="Arial"/>
              </w:rPr>
            </w:pPr>
            <w:r w:rsidRPr="00137E98">
              <w:rPr>
                <w:rFonts w:ascii="Arial" w:hAnsi="Arial" w:cs="Arial"/>
                <w:b/>
                <w:color w:val="FFFFFF"/>
                <w:sz w:val="22"/>
              </w:rPr>
              <w:lastRenderedPageBreak/>
              <w:t>INPUT</w:t>
            </w:r>
          </w:p>
        </w:tc>
        <w:tc>
          <w:tcPr>
            <w:tcW w:w="3312" w:type="dxa"/>
            <w:shd w:val="clear" w:color="auto" w:fill="2B4C7E"/>
            <w:tcMar>
              <w:top w:w="120" w:type="dxa"/>
              <w:left w:w="150" w:type="dxa"/>
              <w:bottom w:w="120" w:type="dxa"/>
              <w:right w:w="150" w:type="dxa"/>
            </w:tcMar>
          </w:tcPr>
          <w:p w14:paraId="338FA65E" w14:textId="77777777" w:rsidR="00A56FDE" w:rsidRPr="00137E98" w:rsidRDefault="00475594">
            <w:pPr>
              <w:jc w:val="center"/>
              <w:rPr>
                <w:rFonts w:ascii="Arial" w:hAnsi="Arial" w:cs="Arial"/>
              </w:rPr>
            </w:pPr>
            <w:r w:rsidRPr="00137E98">
              <w:rPr>
                <w:rFonts w:ascii="Arial" w:hAnsi="Arial" w:cs="Arial"/>
                <w:b/>
                <w:color w:val="FFFFFF"/>
                <w:sz w:val="22"/>
              </w:rPr>
              <w:t>PROCESS</w:t>
            </w:r>
          </w:p>
        </w:tc>
        <w:tc>
          <w:tcPr>
            <w:tcW w:w="2880" w:type="dxa"/>
            <w:shd w:val="clear" w:color="auto" w:fill="2B4C7E"/>
            <w:tcMar>
              <w:top w:w="120" w:type="dxa"/>
              <w:left w:w="150" w:type="dxa"/>
              <w:bottom w:w="120" w:type="dxa"/>
              <w:right w:w="150" w:type="dxa"/>
            </w:tcMar>
          </w:tcPr>
          <w:p w14:paraId="28EE3CDE" w14:textId="77777777" w:rsidR="00A56FDE" w:rsidRPr="00137E98" w:rsidRDefault="00475594">
            <w:pPr>
              <w:jc w:val="center"/>
              <w:rPr>
                <w:rFonts w:ascii="Arial" w:hAnsi="Arial" w:cs="Arial"/>
              </w:rPr>
            </w:pPr>
            <w:r w:rsidRPr="00137E98">
              <w:rPr>
                <w:rFonts w:ascii="Arial" w:hAnsi="Arial" w:cs="Arial"/>
                <w:b/>
                <w:color w:val="FFFFFF"/>
                <w:sz w:val="22"/>
              </w:rPr>
              <w:t>OUTPUT</w:t>
            </w:r>
          </w:p>
        </w:tc>
      </w:tr>
      <w:tr w:rsidR="00A56FDE" w:rsidRPr="00137E98" w14:paraId="586938A1" w14:textId="77777777">
        <w:trPr>
          <w:jc w:val="center"/>
        </w:trPr>
        <w:tc>
          <w:tcPr>
            <w:tcW w:w="3168" w:type="dxa"/>
            <w:tcMar>
              <w:top w:w="80" w:type="dxa"/>
              <w:left w:w="120" w:type="dxa"/>
              <w:bottom w:w="80" w:type="dxa"/>
              <w:right w:w="120" w:type="dxa"/>
            </w:tcMar>
          </w:tcPr>
          <w:p w14:paraId="1749CD29" w14:textId="77777777" w:rsidR="00A56FDE" w:rsidRPr="00137E98" w:rsidRDefault="00475594">
            <w:pPr>
              <w:spacing w:after="40" w:line="276" w:lineRule="auto"/>
              <w:rPr>
                <w:rFonts w:ascii="Arial" w:hAnsi="Arial" w:cs="Arial"/>
              </w:rPr>
            </w:pPr>
            <w:r w:rsidRPr="00137E98">
              <w:rPr>
                <w:rFonts w:ascii="Arial" w:hAnsi="Arial" w:cs="Arial"/>
                <w:sz w:val="20"/>
              </w:rPr>
              <w:t>Patient demographic and emergency-contact data</w:t>
            </w:r>
          </w:p>
        </w:tc>
        <w:tc>
          <w:tcPr>
            <w:tcW w:w="3312" w:type="dxa"/>
            <w:tcMar>
              <w:top w:w="80" w:type="dxa"/>
              <w:left w:w="120" w:type="dxa"/>
              <w:bottom w:w="80" w:type="dxa"/>
              <w:right w:w="120" w:type="dxa"/>
            </w:tcMar>
          </w:tcPr>
          <w:p w14:paraId="05506681" w14:textId="77777777" w:rsidR="00A56FDE" w:rsidRPr="00137E98" w:rsidRDefault="00475594">
            <w:pPr>
              <w:spacing w:after="40" w:line="276" w:lineRule="auto"/>
              <w:rPr>
                <w:rFonts w:ascii="Arial" w:hAnsi="Arial" w:cs="Arial"/>
              </w:rPr>
            </w:pPr>
            <w:r w:rsidRPr="00137E98">
              <w:rPr>
                <w:rFonts w:ascii="Arial" w:hAnsi="Arial" w:cs="Arial"/>
                <w:sz w:val="20"/>
              </w:rPr>
              <w:t>Validate and store registration data; check duplicates; generate unique patient ID</w:t>
            </w:r>
          </w:p>
        </w:tc>
        <w:tc>
          <w:tcPr>
            <w:tcW w:w="2880" w:type="dxa"/>
            <w:tcMar>
              <w:top w:w="80" w:type="dxa"/>
              <w:left w:w="120" w:type="dxa"/>
              <w:bottom w:w="80" w:type="dxa"/>
              <w:right w:w="120" w:type="dxa"/>
            </w:tcMar>
          </w:tcPr>
          <w:p w14:paraId="787916B6" w14:textId="77777777" w:rsidR="00A56FDE" w:rsidRPr="00137E98" w:rsidRDefault="00475594">
            <w:pPr>
              <w:spacing w:after="40" w:line="276" w:lineRule="auto"/>
              <w:rPr>
                <w:rFonts w:ascii="Arial" w:hAnsi="Arial" w:cs="Arial"/>
              </w:rPr>
            </w:pPr>
            <w:r w:rsidRPr="00137E98">
              <w:rPr>
                <w:rFonts w:ascii="Arial" w:hAnsi="Arial" w:cs="Arial"/>
                <w:sz w:val="20"/>
              </w:rPr>
              <w:t>Registered patient record and digital patient ID</w:t>
            </w:r>
          </w:p>
        </w:tc>
      </w:tr>
      <w:tr w:rsidR="00A56FDE" w:rsidRPr="00137E98" w14:paraId="054B2649" w14:textId="77777777">
        <w:trPr>
          <w:jc w:val="center"/>
        </w:trPr>
        <w:tc>
          <w:tcPr>
            <w:tcW w:w="3168" w:type="dxa"/>
            <w:tcMar>
              <w:top w:w="80" w:type="dxa"/>
              <w:left w:w="120" w:type="dxa"/>
              <w:bottom w:w="80" w:type="dxa"/>
              <w:right w:w="120" w:type="dxa"/>
            </w:tcMar>
          </w:tcPr>
          <w:p w14:paraId="57AE63B6" w14:textId="77777777" w:rsidR="00A56FDE" w:rsidRPr="00137E98" w:rsidRDefault="00475594">
            <w:pPr>
              <w:spacing w:after="40" w:line="276" w:lineRule="auto"/>
              <w:rPr>
                <w:rFonts w:ascii="Arial" w:hAnsi="Arial" w:cs="Arial"/>
              </w:rPr>
            </w:pPr>
            <w:r w:rsidRPr="00137E98">
              <w:rPr>
                <w:rFonts w:ascii="Arial" w:hAnsi="Arial" w:cs="Arial"/>
                <w:sz w:val="20"/>
              </w:rPr>
              <w:t>Walk-in consultation request details</w:t>
            </w:r>
          </w:p>
        </w:tc>
        <w:tc>
          <w:tcPr>
            <w:tcW w:w="3312" w:type="dxa"/>
            <w:tcMar>
              <w:top w:w="80" w:type="dxa"/>
              <w:left w:w="120" w:type="dxa"/>
              <w:bottom w:w="80" w:type="dxa"/>
              <w:right w:w="120" w:type="dxa"/>
            </w:tcMar>
          </w:tcPr>
          <w:p w14:paraId="5834142F" w14:textId="77777777" w:rsidR="00A56FDE" w:rsidRPr="00137E98" w:rsidRDefault="00475594">
            <w:pPr>
              <w:spacing w:after="40" w:line="276" w:lineRule="auto"/>
              <w:rPr>
                <w:rFonts w:ascii="Arial" w:hAnsi="Arial" w:cs="Arial"/>
              </w:rPr>
            </w:pPr>
            <w:r w:rsidRPr="00137E98">
              <w:rPr>
                <w:rFonts w:ascii="Arial" w:hAnsi="Arial" w:cs="Arial"/>
                <w:sz w:val="20"/>
              </w:rPr>
              <w:t>Log arrival; assign queue number; match to available physician</w:t>
            </w:r>
          </w:p>
        </w:tc>
        <w:tc>
          <w:tcPr>
            <w:tcW w:w="2880" w:type="dxa"/>
            <w:tcMar>
              <w:top w:w="80" w:type="dxa"/>
              <w:left w:w="120" w:type="dxa"/>
              <w:bottom w:w="80" w:type="dxa"/>
              <w:right w:w="120" w:type="dxa"/>
            </w:tcMar>
          </w:tcPr>
          <w:p w14:paraId="60F72B76" w14:textId="77777777" w:rsidR="00A56FDE" w:rsidRPr="00137E98" w:rsidRDefault="00475594">
            <w:pPr>
              <w:spacing w:after="40" w:line="276" w:lineRule="auto"/>
              <w:rPr>
                <w:rFonts w:ascii="Arial" w:hAnsi="Arial" w:cs="Arial"/>
              </w:rPr>
            </w:pPr>
            <w:r w:rsidRPr="00137E98">
              <w:rPr>
                <w:rFonts w:ascii="Arial" w:hAnsi="Arial" w:cs="Arial"/>
                <w:sz w:val="20"/>
              </w:rPr>
              <w:t>Queue number and daily walk-in consultation list</w:t>
            </w:r>
          </w:p>
        </w:tc>
      </w:tr>
      <w:tr w:rsidR="00A56FDE" w:rsidRPr="00137E98" w14:paraId="7AD99087" w14:textId="77777777">
        <w:trPr>
          <w:jc w:val="center"/>
        </w:trPr>
        <w:tc>
          <w:tcPr>
            <w:tcW w:w="3168" w:type="dxa"/>
            <w:tcMar>
              <w:top w:w="80" w:type="dxa"/>
              <w:left w:w="120" w:type="dxa"/>
              <w:bottom w:w="80" w:type="dxa"/>
              <w:right w:w="120" w:type="dxa"/>
            </w:tcMar>
          </w:tcPr>
          <w:p w14:paraId="2F087EE2" w14:textId="77777777" w:rsidR="00A56FDE" w:rsidRPr="00137E98" w:rsidRDefault="00475594">
            <w:pPr>
              <w:spacing w:after="40" w:line="276" w:lineRule="auto"/>
              <w:rPr>
                <w:rFonts w:ascii="Arial" w:hAnsi="Arial" w:cs="Arial"/>
              </w:rPr>
            </w:pPr>
            <w:r w:rsidRPr="00137E98">
              <w:rPr>
                <w:rFonts w:ascii="Arial" w:hAnsi="Arial" w:cs="Arial"/>
                <w:sz w:val="20"/>
              </w:rPr>
              <w:t>Consultation notes, diagnoses, vital signs</w:t>
            </w:r>
          </w:p>
        </w:tc>
        <w:tc>
          <w:tcPr>
            <w:tcW w:w="3312" w:type="dxa"/>
            <w:tcMar>
              <w:top w:w="80" w:type="dxa"/>
              <w:left w:w="120" w:type="dxa"/>
              <w:bottom w:w="80" w:type="dxa"/>
              <w:right w:w="120" w:type="dxa"/>
            </w:tcMar>
          </w:tcPr>
          <w:p w14:paraId="73F87F10" w14:textId="77777777" w:rsidR="00A56FDE" w:rsidRPr="00137E98" w:rsidRDefault="00475594">
            <w:pPr>
              <w:spacing w:after="40" w:line="276" w:lineRule="auto"/>
              <w:rPr>
                <w:rFonts w:ascii="Arial" w:hAnsi="Arial" w:cs="Arial"/>
              </w:rPr>
            </w:pPr>
            <w:r w:rsidRPr="00137E98">
              <w:rPr>
                <w:rFonts w:ascii="Arial" w:hAnsi="Arial" w:cs="Arial"/>
                <w:sz w:val="20"/>
              </w:rPr>
              <w:t>Validate physiologic ranges; record SOAP notes and ICD-10 diagnoses</w:t>
            </w:r>
          </w:p>
        </w:tc>
        <w:tc>
          <w:tcPr>
            <w:tcW w:w="2880" w:type="dxa"/>
            <w:tcMar>
              <w:top w:w="80" w:type="dxa"/>
              <w:left w:w="120" w:type="dxa"/>
              <w:bottom w:w="80" w:type="dxa"/>
              <w:right w:w="120" w:type="dxa"/>
            </w:tcMar>
          </w:tcPr>
          <w:p w14:paraId="1F2F7649" w14:textId="77777777" w:rsidR="00A56FDE" w:rsidRPr="00137E98" w:rsidRDefault="00475594">
            <w:pPr>
              <w:spacing w:after="40" w:line="276" w:lineRule="auto"/>
              <w:rPr>
                <w:rFonts w:ascii="Arial" w:hAnsi="Arial" w:cs="Arial"/>
              </w:rPr>
            </w:pPr>
            <w:r w:rsidRPr="00137E98">
              <w:rPr>
                <w:rFonts w:ascii="Arial" w:hAnsi="Arial" w:cs="Arial"/>
                <w:sz w:val="20"/>
              </w:rPr>
              <w:t>Updated electronic medical record</w:t>
            </w:r>
          </w:p>
        </w:tc>
      </w:tr>
      <w:tr w:rsidR="00A56FDE" w:rsidRPr="00137E98" w14:paraId="1C783E78" w14:textId="77777777">
        <w:trPr>
          <w:jc w:val="center"/>
        </w:trPr>
        <w:tc>
          <w:tcPr>
            <w:tcW w:w="3168" w:type="dxa"/>
            <w:tcMar>
              <w:top w:w="80" w:type="dxa"/>
              <w:left w:w="120" w:type="dxa"/>
              <w:bottom w:w="80" w:type="dxa"/>
              <w:right w:w="120" w:type="dxa"/>
            </w:tcMar>
          </w:tcPr>
          <w:p w14:paraId="078A8C39" w14:textId="77777777" w:rsidR="00A56FDE" w:rsidRPr="00137E98" w:rsidRDefault="00475594">
            <w:pPr>
              <w:spacing w:after="40" w:line="276" w:lineRule="auto"/>
              <w:rPr>
                <w:rFonts w:ascii="Arial" w:hAnsi="Arial" w:cs="Arial"/>
              </w:rPr>
            </w:pPr>
            <w:r w:rsidRPr="00137E98">
              <w:rPr>
                <w:rFonts w:ascii="Arial" w:hAnsi="Arial" w:cs="Arial"/>
                <w:sz w:val="20"/>
              </w:rPr>
              <w:t>Laboratory test requests and specimen data</w:t>
            </w:r>
          </w:p>
        </w:tc>
        <w:tc>
          <w:tcPr>
            <w:tcW w:w="3312" w:type="dxa"/>
            <w:tcMar>
              <w:top w:w="80" w:type="dxa"/>
              <w:left w:w="120" w:type="dxa"/>
              <w:bottom w:w="80" w:type="dxa"/>
              <w:right w:w="120" w:type="dxa"/>
            </w:tcMar>
          </w:tcPr>
          <w:p w14:paraId="69321FE0" w14:textId="77777777" w:rsidR="00A56FDE" w:rsidRPr="00137E98" w:rsidRDefault="00475594">
            <w:pPr>
              <w:spacing w:after="40" w:line="276" w:lineRule="auto"/>
              <w:rPr>
                <w:rFonts w:ascii="Arial" w:hAnsi="Arial" w:cs="Arial"/>
              </w:rPr>
            </w:pPr>
            <w:r w:rsidRPr="00137E98">
              <w:rPr>
                <w:rFonts w:ascii="Arial" w:hAnsi="Arial" w:cs="Arial"/>
                <w:sz w:val="20"/>
              </w:rPr>
              <w:t>Assign specimen identifier; track status; validate and post results</w:t>
            </w:r>
          </w:p>
        </w:tc>
        <w:tc>
          <w:tcPr>
            <w:tcW w:w="2880" w:type="dxa"/>
            <w:tcMar>
              <w:top w:w="80" w:type="dxa"/>
              <w:left w:w="120" w:type="dxa"/>
              <w:bottom w:w="80" w:type="dxa"/>
              <w:right w:w="120" w:type="dxa"/>
            </w:tcMar>
          </w:tcPr>
          <w:p w14:paraId="42FDC4EB" w14:textId="77777777" w:rsidR="00A56FDE" w:rsidRPr="00137E98" w:rsidRDefault="00475594">
            <w:pPr>
              <w:spacing w:after="40" w:line="276" w:lineRule="auto"/>
              <w:rPr>
                <w:rFonts w:ascii="Arial" w:hAnsi="Arial" w:cs="Arial"/>
              </w:rPr>
            </w:pPr>
            <w:r w:rsidRPr="00137E98">
              <w:rPr>
                <w:rFonts w:ascii="Arial" w:hAnsi="Arial" w:cs="Arial"/>
                <w:sz w:val="20"/>
              </w:rPr>
              <w:t>Laboratory result report linked to patient record</w:t>
            </w:r>
          </w:p>
        </w:tc>
      </w:tr>
      <w:tr w:rsidR="00A56FDE" w:rsidRPr="00137E98" w14:paraId="3F91D293" w14:textId="77777777">
        <w:trPr>
          <w:jc w:val="center"/>
        </w:trPr>
        <w:tc>
          <w:tcPr>
            <w:tcW w:w="3168" w:type="dxa"/>
            <w:tcMar>
              <w:top w:w="80" w:type="dxa"/>
              <w:left w:w="120" w:type="dxa"/>
              <w:bottom w:w="80" w:type="dxa"/>
              <w:right w:w="120" w:type="dxa"/>
            </w:tcMar>
          </w:tcPr>
          <w:p w14:paraId="4C0145EE" w14:textId="77777777" w:rsidR="00A56FDE" w:rsidRPr="00137E98" w:rsidRDefault="00475594">
            <w:pPr>
              <w:spacing w:after="40" w:line="276" w:lineRule="auto"/>
              <w:rPr>
                <w:rFonts w:ascii="Arial" w:hAnsi="Arial" w:cs="Arial"/>
              </w:rPr>
            </w:pPr>
            <w:r w:rsidRPr="00137E98">
              <w:rPr>
                <w:rFonts w:ascii="Arial" w:hAnsi="Arial" w:cs="Arial"/>
                <w:sz w:val="20"/>
              </w:rPr>
              <w:t>Electronic prescriptions and medicine stock data</w:t>
            </w:r>
          </w:p>
        </w:tc>
        <w:tc>
          <w:tcPr>
            <w:tcW w:w="3312" w:type="dxa"/>
            <w:tcMar>
              <w:top w:w="80" w:type="dxa"/>
              <w:left w:w="120" w:type="dxa"/>
              <w:bottom w:w="80" w:type="dxa"/>
              <w:right w:w="120" w:type="dxa"/>
            </w:tcMar>
          </w:tcPr>
          <w:p w14:paraId="67E4881C" w14:textId="77777777" w:rsidR="00A56FDE" w:rsidRPr="00137E98" w:rsidRDefault="00475594">
            <w:pPr>
              <w:spacing w:after="40" w:line="276" w:lineRule="auto"/>
              <w:rPr>
                <w:rFonts w:ascii="Arial" w:hAnsi="Arial" w:cs="Arial"/>
              </w:rPr>
            </w:pPr>
            <w:r w:rsidRPr="00137E98">
              <w:rPr>
                <w:rFonts w:ascii="Arial" w:hAnsi="Arial" w:cs="Arial"/>
                <w:sz w:val="20"/>
              </w:rPr>
              <w:t>Verify Rx; record dispensing; deduct batch stock; evaluate alert thresholds</w:t>
            </w:r>
          </w:p>
        </w:tc>
        <w:tc>
          <w:tcPr>
            <w:tcW w:w="2880" w:type="dxa"/>
            <w:tcMar>
              <w:top w:w="80" w:type="dxa"/>
              <w:left w:w="120" w:type="dxa"/>
              <w:bottom w:w="80" w:type="dxa"/>
              <w:right w:w="120" w:type="dxa"/>
            </w:tcMar>
          </w:tcPr>
          <w:p w14:paraId="45469368" w14:textId="77777777" w:rsidR="00A56FDE" w:rsidRPr="00137E98" w:rsidRDefault="00475594">
            <w:pPr>
              <w:spacing w:after="40" w:line="276" w:lineRule="auto"/>
              <w:rPr>
                <w:rFonts w:ascii="Arial" w:hAnsi="Arial" w:cs="Arial"/>
              </w:rPr>
            </w:pPr>
            <w:r w:rsidRPr="00137E98">
              <w:rPr>
                <w:rFonts w:ascii="Arial" w:hAnsi="Arial" w:cs="Arial"/>
                <w:sz w:val="20"/>
              </w:rPr>
              <w:t>Dispensing record; low-stock and near-expiry alerts</w:t>
            </w:r>
          </w:p>
        </w:tc>
      </w:tr>
      <w:tr w:rsidR="00A56FDE" w:rsidRPr="00137E98" w14:paraId="59311194" w14:textId="77777777">
        <w:trPr>
          <w:jc w:val="center"/>
        </w:trPr>
        <w:tc>
          <w:tcPr>
            <w:tcW w:w="3168" w:type="dxa"/>
            <w:tcMar>
              <w:top w:w="80" w:type="dxa"/>
              <w:left w:w="120" w:type="dxa"/>
              <w:bottom w:w="80" w:type="dxa"/>
              <w:right w:w="120" w:type="dxa"/>
            </w:tcMar>
          </w:tcPr>
          <w:p w14:paraId="58482A6A" w14:textId="77777777" w:rsidR="00A56FDE" w:rsidRPr="00137E98" w:rsidRDefault="00475594">
            <w:pPr>
              <w:spacing w:after="40" w:line="276" w:lineRule="auto"/>
              <w:rPr>
                <w:rFonts w:ascii="Arial" w:hAnsi="Arial" w:cs="Arial"/>
              </w:rPr>
            </w:pPr>
            <w:r w:rsidRPr="00137E98">
              <w:rPr>
                <w:rFonts w:ascii="Arial" w:hAnsi="Arial" w:cs="Arial"/>
                <w:sz w:val="20"/>
              </w:rPr>
              <w:t>Services rendered and PhilHealth deduction values</w:t>
            </w:r>
          </w:p>
        </w:tc>
        <w:tc>
          <w:tcPr>
            <w:tcW w:w="3312" w:type="dxa"/>
            <w:tcMar>
              <w:top w:w="80" w:type="dxa"/>
              <w:left w:w="120" w:type="dxa"/>
              <w:bottom w:w="80" w:type="dxa"/>
              <w:right w:w="120" w:type="dxa"/>
            </w:tcMar>
          </w:tcPr>
          <w:p w14:paraId="63901C9E" w14:textId="77777777" w:rsidR="00A56FDE" w:rsidRPr="00137E98" w:rsidRDefault="00475594">
            <w:pPr>
              <w:spacing w:after="40" w:line="276" w:lineRule="auto"/>
              <w:rPr>
                <w:rFonts w:ascii="Arial" w:hAnsi="Arial" w:cs="Arial"/>
              </w:rPr>
            </w:pPr>
            <w:r w:rsidRPr="00137E98">
              <w:rPr>
                <w:rFonts w:ascii="Arial" w:hAnsi="Arial" w:cs="Arial"/>
                <w:sz w:val="20"/>
              </w:rPr>
              <w:t>Aggregate service charges; apply discounts; apply deduction; record payment</w:t>
            </w:r>
          </w:p>
        </w:tc>
        <w:tc>
          <w:tcPr>
            <w:tcW w:w="2880" w:type="dxa"/>
            <w:tcMar>
              <w:top w:w="80" w:type="dxa"/>
              <w:left w:w="120" w:type="dxa"/>
              <w:bottom w:w="80" w:type="dxa"/>
              <w:right w:w="120" w:type="dxa"/>
            </w:tcMar>
          </w:tcPr>
          <w:p w14:paraId="2AA6B9C2" w14:textId="77777777" w:rsidR="00A56FDE" w:rsidRPr="00137E98" w:rsidRDefault="00475594">
            <w:pPr>
              <w:spacing w:after="40" w:line="276" w:lineRule="auto"/>
              <w:rPr>
                <w:rFonts w:ascii="Arial" w:hAnsi="Arial" w:cs="Arial"/>
              </w:rPr>
            </w:pPr>
            <w:r w:rsidRPr="00137E98">
              <w:rPr>
                <w:rFonts w:ascii="Arial" w:hAnsi="Arial" w:cs="Arial"/>
                <w:sz w:val="20"/>
              </w:rPr>
              <w:t>Digital invoice, payment record, official receipt</w:t>
            </w:r>
          </w:p>
        </w:tc>
      </w:tr>
      <w:tr w:rsidR="00A56FDE" w:rsidRPr="00137E98" w14:paraId="30876D57" w14:textId="77777777">
        <w:trPr>
          <w:jc w:val="center"/>
        </w:trPr>
        <w:tc>
          <w:tcPr>
            <w:tcW w:w="3168" w:type="dxa"/>
            <w:tcMar>
              <w:top w:w="80" w:type="dxa"/>
              <w:left w:w="120" w:type="dxa"/>
              <w:bottom w:w="80" w:type="dxa"/>
              <w:right w:w="120" w:type="dxa"/>
            </w:tcMar>
          </w:tcPr>
          <w:p w14:paraId="4A7C4D41" w14:textId="77777777" w:rsidR="00A56FDE" w:rsidRPr="00137E98" w:rsidRDefault="00475594">
            <w:pPr>
              <w:spacing w:after="40" w:line="276" w:lineRule="auto"/>
              <w:rPr>
                <w:rFonts w:ascii="Arial" w:hAnsi="Arial" w:cs="Arial"/>
              </w:rPr>
            </w:pPr>
            <w:r w:rsidRPr="00137E98">
              <w:rPr>
                <w:rFonts w:ascii="Arial" w:hAnsi="Arial" w:cs="Arial"/>
                <w:sz w:val="20"/>
              </w:rPr>
              <w:t>Inter-departmental referrals and task assignments</w:t>
            </w:r>
          </w:p>
        </w:tc>
        <w:tc>
          <w:tcPr>
            <w:tcW w:w="3312" w:type="dxa"/>
            <w:tcMar>
              <w:top w:w="80" w:type="dxa"/>
              <w:left w:w="120" w:type="dxa"/>
              <w:bottom w:w="80" w:type="dxa"/>
              <w:right w:w="120" w:type="dxa"/>
            </w:tcMar>
          </w:tcPr>
          <w:p w14:paraId="1DACA56F" w14:textId="77777777" w:rsidR="00A56FDE" w:rsidRPr="00137E98" w:rsidRDefault="00475594">
            <w:pPr>
              <w:spacing w:after="40" w:line="276" w:lineRule="auto"/>
              <w:rPr>
                <w:rFonts w:ascii="Arial" w:hAnsi="Arial" w:cs="Arial"/>
              </w:rPr>
            </w:pPr>
            <w:r w:rsidRPr="00137E98">
              <w:rPr>
                <w:rFonts w:ascii="Arial" w:hAnsi="Arial" w:cs="Arial"/>
                <w:sz w:val="20"/>
              </w:rPr>
              <w:t>Route to destination role; log hand-off; broadcast status update</w:t>
            </w:r>
          </w:p>
        </w:tc>
        <w:tc>
          <w:tcPr>
            <w:tcW w:w="2880" w:type="dxa"/>
            <w:tcMar>
              <w:top w:w="80" w:type="dxa"/>
              <w:left w:w="120" w:type="dxa"/>
              <w:bottom w:w="80" w:type="dxa"/>
              <w:right w:w="120" w:type="dxa"/>
            </w:tcMar>
          </w:tcPr>
          <w:p w14:paraId="03535F9B" w14:textId="77777777" w:rsidR="00A56FDE" w:rsidRPr="00137E98" w:rsidRDefault="00475594">
            <w:pPr>
              <w:spacing w:after="40" w:line="276" w:lineRule="auto"/>
              <w:rPr>
                <w:rFonts w:ascii="Arial" w:hAnsi="Arial" w:cs="Arial"/>
              </w:rPr>
            </w:pPr>
            <w:r w:rsidRPr="00137E98">
              <w:rPr>
                <w:rFonts w:ascii="Arial" w:hAnsi="Arial" w:cs="Arial"/>
                <w:sz w:val="20"/>
              </w:rPr>
              <w:t>Routed task with traceable audit trail</w:t>
            </w:r>
          </w:p>
        </w:tc>
      </w:tr>
      <w:tr w:rsidR="00A56FDE" w:rsidRPr="00137E98" w14:paraId="20728B42" w14:textId="77777777">
        <w:trPr>
          <w:jc w:val="center"/>
        </w:trPr>
        <w:tc>
          <w:tcPr>
            <w:tcW w:w="3168" w:type="dxa"/>
            <w:tcMar>
              <w:top w:w="80" w:type="dxa"/>
              <w:left w:w="120" w:type="dxa"/>
              <w:bottom w:w="80" w:type="dxa"/>
              <w:right w:w="120" w:type="dxa"/>
            </w:tcMar>
          </w:tcPr>
          <w:p w14:paraId="567A66A4" w14:textId="77777777" w:rsidR="00A56FDE" w:rsidRPr="00137E98" w:rsidRDefault="00475594">
            <w:pPr>
              <w:spacing w:after="40" w:line="276" w:lineRule="auto"/>
              <w:rPr>
                <w:rFonts w:ascii="Arial" w:hAnsi="Arial" w:cs="Arial"/>
              </w:rPr>
            </w:pPr>
            <w:r w:rsidRPr="00137E98">
              <w:rPr>
                <w:rFonts w:ascii="Arial" w:hAnsi="Arial" w:cs="Arial"/>
                <w:sz w:val="20"/>
              </w:rPr>
              <w:t>User accounts and assigned roles</w:t>
            </w:r>
          </w:p>
        </w:tc>
        <w:tc>
          <w:tcPr>
            <w:tcW w:w="3312" w:type="dxa"/>
            <w:tcMar>
              <w:top w:w="80" w:type="dxa"/>
              <w:left w:w="120" w:type="dxa"/>
              <w:bottom w:w="80" w:type="dxa"/>
              <w:right w:w="120" w:type="dxa"/>
            </w:tcMar>
          </w:tcPr>
          <w:p w14:paraId="30C08FB9" w14:textId="77777777" w:rsidR="00A56FDE" w:rsidRPr="00137E98" w:rsidRDefault="00475594">
            <w:pPr>
              <w:spacing w:after="40" w:line="276" w:lineRule="auto"/>
              <w:rPr>
                <w:rFonts w:ascii="Arial" w:hAnsi="Arial" w:cs="Arial"/>
              </w:rPr>
            </w:pPr>
            <w:r w:rsidRPr="00137E98">
              <w:rPr>
                <w:rFonts w:ascii="Arial" w:hAnsi="Arial" w:cs="Arial"/>
                <w:sz w:val="20"/>
              </w:rPr>
              <w:t>Authenticate; enforce role-based permissions; log access trail</w:t>
            </w:r>
          </w:p>
        </w:tc>
        <w:tc>
          <w:tcPr>
            <w:tcW w:w="2880" w:type="dxa"/>
            <w:tcMar>
              <w:top w:w="80" w:type="dxa"/>
              <w:left w:w="120" w:type="dxa"/>
              <w:bottom w:w="80" w:type="dxa"/>
              <w:right w:w="120" w:type="dxa"/>
            </w:tcMar>
          </w:tcPr>
          <w:p w14:paraId="6656867E" w14:textId="77777777" w:rsidR="00A56FDE" w:rsidRPr="00137E98" w:rsidRDefault="00475594">
            <w:pPr>
              <w:spacing w:after="40" w:line="276" w:lineRule="auto"/>
              <w:rPr>
                <w:rFonts w:ascii="Arial" w:hAnsi="Arial" w:cs="Arial"/>
              </w:rPr>
            </w:pPr>
            <w:r w:rsidRPr="00137E98">
              <w:rPr>
                <w:rFonts w:ascii="Arial" w:hAnsi="Arial" w:cs="Arial"/>
                <w:sz w:val="20"/>
              </w:rPr>
              <w:t>Role-restricted access and audit log</w:t>
            </w:r>
          </w:p>
        </w:tc>
      </w:tr>
      <w:tr w:rsidR="00A56FDE" w:rsidRPr="00137E98" w14:paraId="00746F8F" w14:textId="77777777">
        <w:trPr>
          <w:jc w:val="center"/>
        </w:trPr>
        <w:tc>
          <w:tcPr>
            <w:tcW w:w="3168" w:type="dxa"/>
            <w:tcMar>
              <w:top w:w="80" w:type="dxa"/>
              <w:left w:w="120" w:type="dxa"/>
              <w:bottom w:w="80" w:type="dxa"/>
              <w:right w:w="120" w:type="dxa"/>
            </w:tcMar>
          </w:tcPr>
          <w:p w14:paraId="655523A3" w14:textId="77777777" w:rsidR="00A56FDE" w:rsidRPr="00137E98" w:rsidRDefault="00475594">
            <w:pPr>
              <w:spacing w:after="40" w:line="276" w:lineRule="auto"/>
              <w:rPr>
                <w:rFonts w:ascii="Arial" w:hAnsi="Arial" w:cs="Arial"/>
              </w:rPr>
            </w:pPr>
            <w:r w:rsidRPr="00137E98">
              <w:rPr>
                <w:rFonts w:ascii="Arial" w:hAnsi="Arial" w:cs="Arial"/>
                <w:sz w:val="20"/>
              </w:rPr>
              <w:t>All accumulated transaction data</w:t>
            </w:r>
          </w:p>
        </w:tc>
        <w:tc>
          <w:tcPr>
            <w:tcW w:w="3312" w:type="dxa"/>
            <w:tcMar>
              <w:top w:w="80" w:type="dxa"/>
              <w:left w:w="120" w:type="dxa"/>
              <w:bottom w:w="80" w:type="dxa"/>
              <w:right w:w="120" w:type="dxa"/>
            </w:tcMar>
          </w:tcPr>
          <w:p w14:paraId="0E451B0E" w14:textId="77777777" w:rsidR="00A56FDE" w:rsidRPr="00137E98" w:rsidRDefault="00475594">
            <w:pPr>
              <w:spacing w:after="40" w:line="276" w:lineRule="auto"/>
              <w:rPr>
                <w:rFonts w:ascii="Arial" w:hAnsi="Arial" w:cs="Arial"/>
              </w:rPr>
            </w:pPr>
            <w:r w:rsidRPr="00137E98">
              <w:rPr>
                <w:rFonts w:ascii="Arial" w:hAnsi="Arial" w:cs="Arial"/>
                <w:sz w:val="20"/>
              </w:rPr>
              <w:t>Aggregate and format for the selected reporting period</w:t>
            </w:r>
          </w:p>
        </w:tc>
        <w:tc>
          <w:tcPr>
            <w:tcW w:w="2880" w:type="dxa"/>
            <w:tcMar>
              <w:top w:w="80" w:type="dxa"/>
              <w:left w:w="120" w:type="dxa"/>
              <w:bottom w:w="80" w:type="dxa"/>
              <w:right w:w="120" w:type="dxa"/>
            </w:tcMar>
          </w:tcPr>
          <w:p w14:paraId="0C2B9EB6" w14:textId="77777777" w:rsidR="00A56FDE" w:rsidRPr="00137E98" w:rsidRDefault="00475594">
            <w:pPr>
              <w:spacing w:after="40" w:line="276" w:lineRule="auto"/>
              <w:rPr>
                <w:rFonts w:ascii="Arial" w:hAnsi="Arial" w:cs="Arial"/>
              </w:rPr>
            </w:pPr>
            <w:r w:rsidRPr="00137E98">
              <w:rPr>
                <w:rFonts w:ascii="Arial" w:hAnsi="Arial" w:cs="Arial"/>
                <w:sz w:val="20"/>
              </w:rPr>
              <w:t>Census, laboratory, pharmacy, and billing reports</w:t>
            </w:r>
          </w:p>
        </w:tc>
      </w:tr>
    </w:tbl>
    <w:p w14:paraId="0DE86059" w14:textId="77777777" w:rsidR="00A56FDE" w:rsidRPr="00137E98" w:rsidRDefault="00475594">
      <w:pPr>
        <w:rPr>
          <w:rFonts w:ascii="Arial" w:hAnsi="Arial" w:cs="Arial"/>
        </w:rPr>
      </w:pPr>
      <w:r w:rsidRPr="00137E98">
        <w:rPr>
          <w:rFonts w:ascii="Arial" w:hAnsi="Arial" w:cs="Arial"/>
        </w:rPr>
        <w:t>The flow begins when a walk-in patient arrives at the admitting counter and provides demographic information, which the admitting staff encodes into the system. The system validates the entry, checks for an existing record, and either retrieves the returning patient's file or generates a new unique patient identification number. The patient is then logged into the walk-in consultation queue and assigned a queue number visible to nursing and medical staff. During consultation, the attending physician records</w:t>
      </w:r>
      <w:r w:rsidRPr="00137E98">
        <w:rPr>
          <w:rFonts w:ascii="Arial" w:hAnsi="Arial" w:cs="Arial"/>
        </w:rPr>
        <w:t xml:space="preserve"> notes, diagnoses, and orders directly against that same patient record; any laboratory request or prescription generated is carried forward under the same identifier, so the medical technologist and pharmacist act on the same record rather than on a separate slip.</w:t>
      </w:r>
    </w:p>
    <w:p w14:paraId="26C4EDEF" w14:textId="77777777" w:rsidR="00A56FDE" w:rsidRPr="00137E98" w:rsidRDefault="00475594">
      <w:pPr>
        <w:rPr>
          <w:rFonts w:ascii="Arial" w:hAnsi="Arial" w:cs="Arial"/>
        </w:rPr>
      </w:pPr>
      <w:r w:rsidRPr="00137E98">
        <w:rPr>
          <w:rFonts w:ascii="Arial" w:hAnsi="Arial" w:cs="Arial"/>
        </w:rPr>
        <w:lastRenderedPageBreak/>
        <w:t>As each department completes its part of the visit, the system accumulates the corresponding transaction data — validated laboratory results, dispensed medicines with their batch deductions, and services rendered. At the end of the visit, billing staff compute the total from these accumulated service entries, apply the encoded PhilHealth deduction where applicable, record the payment, and issue the receipt. Every access and hand-off along this path is governed by role-based permissions and written to an aud</w:t>
      </w:r>
      <w:r w:rsidRPr="00137E98">
        <w:rPr>
          <w:rFonts w:ascii="Arial" w:hAnsi="Arial" w:cs="Arial"/>
        </w:rPr>
        <w:t>it log. Finally, the system aggregates all transactions across a selected period into the operational reports used by hospital administrators, and any corrections made by authorized staff are written back into the patient record, forming a feedback loop that keeps the stored data current for the patient's next visit.</w:t>
      </w:r>
    </w:p>
    <w:p w14:paraId="6BE8A042" w14:textId="77777777" w:rsidR="00A56FDE" w:rsidRPr="00137E98" w:rsidRDefault="00475594">
      <w:pPr>
        <w:rPr>
          <w:rFonts w:ascii="Arial" w:hAnsi="Arial" w:cs="Arial"/>
        </w:rPr>
      </w:pPr>
      <w:r w:rsidRPr="00137E98">
        <w:rPr>
          <w:rFonts w:ascii="Arial" w:hAnsi="Arial" w:cs="Arial"/>
          <w:b/>
        </w:rPr>
        <w:t>Definition of Terms</w:t>
      </w:r>
    </w:p>
    <w:p w14:paraId="5658EF89" w14:textId="77777777" w:rsidR="00A56FDE" w:rsidRPr="00137E98" w:rsidRDefault="00475594">
      <w:pPr>
        <w:rPr>
          <w:rFonts w:ascii="Arial" w:hAnsi="Arial" w:cs="Arial"/>
        </w:rPr>
      </w:pPr>
      <w:r w:rsidRPr="00137E98">
        <w:rPr>
          <w:rFonts w:ascii="Arial" w:hAnsi="Arial" w:cs="Arial"/>
        </w:rPr>
        <w:t>The following key terms are conceptually and operationally defined to ensure clarity and consistency throughout the study:</w:t>
      </w:r>
    </w:p>
    <w:p w14:paraId="2CEA3E0D" w14:textId="77777777" w:rsidR="00A56FDE" w:rsidRPr="00137E98" w:rsidRDefault="00475594">
      <w:pPr>
        <w:ind w:left="360"/>
        <w:rPr>
          <w:rFonts w:ascii="Arial" w:hAnsi="Arial" w:cs="Arial"/>
        </w:rPr>
      </w:pPr>
      <w:r w:rsidRPr="00137E98">
        <w:rPr>
          <w:rFonts w:ascii="Arial" w:hAnsi="Arial" w:cs="Arial"/>
          <w:b/>
        </w:rPr>
        <w:t xml:space="preserve">Agile Scrum — </w:t>
      </w:r>
      <w:r w:rsidRPr="00137E98">
        <w:rPr>
          <w:rFonts w:ascii="Arial" w:hAnsi="Arial" w:cs="Arial"/>
        </w:rPr>
        <w:t>An iterative software engineering methodology in which development is divided into short cycles called sprints, each producing a testable increment. In this study, TMHIS is developed across seven sprints, each delivering one functional module for validation by hospital personnel before the next begins.</w:t>
      </w:r>
    </w:p>
    <w:p w14:paraId="315B460D" w14:textId="77777777" w:rsidR="00A56FDE" w:rsidRPr="00137E98" w:rsidRDefault="00475594">
      <w:pPr>
        <w:ind w:left="360"/>
        <w:rPr>
          <w:rFonts w:ascii="Arial" w:hAnsi="Arial" w:cs="Arial"/>
        </w:rPr>
      </w:pPr>
      <w:r w:rsidRPr="00137E98">
        <w:rPr>
          <w:rFonts w:ascii="Arial" w:hAnsi="Arial" w:cs="Arial"/>
          <w:b/>
        </w:rPr>
        <w:t xml:space="preserve">Automated Report Generation — </w:t>
      </w:r>
      <w:r w:rsidRPr="00137E98">
        <w:rPr>
          <w:rFonts w:ascii="Arial" w:hAnsi="Arial" w:cs="Arial"/>
        </w:rPr>
        <w:t>In this study, the system function that compiles stored transaction data into formatted, printable, and exportable operational reports without manual tallying from departmental registers.</w:t>
      </w:r>
    </w:p>
    <w:p w14:paraId="159B2596" w14:textId="77777777" w:rsidR="00A56FDE" w:rsidRPr="00137E98" w:rsidRDefault="00475594">
      <w:pPr>
        <w:ind w:left="360"/>
        <w:rPr>
          <w:rFonts w:ascii="Arial" w:hAnsi="Arial" w:cs="Arial"/>
        </w:rPr>
      </w:pPr>
      <w:r w:rsidRPr="00137E98">
        <w:rPr>
          <w:rFonts w:ascii="Arial" w:hAnsi="Arial" w:cs="Arial"/>
          <w:b/>
        </w:rPr>
        <w:t xml:space="preserve">Digital Patient ID — </w:t>
      </w:r>
      <w:r w:rsidRPr="00137E98">
        <w:rPr>
          <w:rFonts w:ascii="Arial" w:hAnsi="Arial" w:cs="Arial"/>
        </w:rPr>
        <w:t>In this study, the unique alphanumeric identifier (in the format TMH-YYYY-XXXXX) automatically generated by the system upon a patient's first registration, used to link all subsequent consultation, laboratory, pharmacy, and billing records to that patient.</w:t>
      </w:r>
    </w:p>
    <w:p w14:paraId="7BFD9C31" w14:textId="77777777" w:rsidR="00A56FDE" w:rsidRPr="00137E98" w:rsidRDefault="00475594">
      <w:pPr>
        <w:ind w:left="360"/>
        <w:rPr>
          <w:rFonts w:ascii="Arial" w:hAnsi="Arial" w:cs="Arial"/>
        </w:rPr>
      </w:pPr>
      <w:r w:rsidRPr="00137E98">
        <w:rPr>
          <w:rFonts w:ascii="Arial" w:hAnsi="Arial" w:cs="Arial"/>
          <w:b/>
        </w:rPr>
        <w:t xml:space="preserve">Electronic Medical Record (EMR) — </w:t>
      </w:r>
      <w:r w:rsidRPr="00137E98">
        <w:rPr>
          <w:rFonts w:ascii="Arial" w:hAnsi="Arial" w:cs="Arial"/>
        </w:rPr>
        <w:t>A digital record of a patient's medical history, consultations, diagnoses, treatments, prescriptions, allergies, and immunizations maintained within a single health facility. In this study, the EMR replaces the hospital's physical patient folder.</w:t>
      </w:r>
    </w:p>
    <w:p w14:paraId="4B5E068D" w14:textId="77777777" w:rsidR="00A56FDE" w:rsidRPr="00137E98" w:rsidRDefault="00475594">
      <w:pPr>
        <w:ind w:left="360"/>
        <w:rPr>
          <w:rFonts w:ascii="Arial" w:hAnsi="Arial" w:cs="Arial"/>
        </w:rPr>
      </w:pPr>
      <w:r w:rsidRPr="00137E98">
        <w:rPr>
          <w:rFonts w:ascii="Arial" w:hAnsi="Arial" w:cs="Arial"/>
          <w:b/>
        </w:rPr>
        <w:lastRenderedPageBreak/>
        <w:t xml:space="preserve">Functional Decomposition Diagram (FDD) — </w:t>
      </w:r>
      <w:r w:rsidRPr="00137E98">
        <w:rPr>
          <w:rFonts w:ascii="Arial" w:hAnsi="Arial" w:cs="Arial"/>
        </w:rPr>
        <w:t>A hierarchical diagram that breaks a system down into its constituent functions and sub-functions. In this study, the FDD presents the nine user roles of TMHIS and the functions assigned to each.</w:t>
      </w:r>
    </w:p>
    <w:p w14:paraId="712E27B6" w14:textId="77777777" w:rsidR="00A56FDE" w:rsidRPr="00137E98" w:rsidRDefault="00475594">
      <w:pPr>
        <w:ind w:left="360"/>
        <w:rPr>
          <w:rFonts w:ascii="Arial" w:hAnsi="Arial" w:cs="Arial"/>
        </w:rPr>
      </w:pPr>
      <w:r w:rsidRPr="00137E98">
        <w:rPr>
          <w:rFonts w:ascii="Arial" w:hAnsi="Arial" w:cs="Arial"/>
          <w:b/>
        </w:rPr>
        <w:t xml:space="preserve">Hospital Information System (HIS) — </w:t>
      </w:r>
      <w:r w:rsidRPr="00137E98">
        <w:rPr>
          <w:rFonts w:ascii="Arial" w:hAnsi="Arial" w:cs="Arial"/>
        </w:rPr>
        <w:t>An integrated information system that manages the clinical, administrative, and financial operations of a hospital within a single institutional database.</w:t>
      </w:r>
    </w:p>
    <w:p w14:paraId="12B65ED1" w14:textId="77777777" w:rsidR="00A56FDE" w:rsidRPr="00137E98" w:rsidRDefault="00475594">
      <w:pPr>
        <w:ind w:left="360"/>
        <w:rPr>
          <w:rFonts w:ascii="Arial" w:hAnsi="Arial" w:cs="Arial"/>
        </w:rPr>
      </w:pPr>
      <w:r w:rsidRPr="00137E98">
        <w:rPr>
          <w:rFonts w:ascii="Arial" w:hAnsi="Arial" w:cs="Arial"/>
          <w:b/>
        </w:rPr>
        <w:t xml:space="preserve">ICD-10 — </w:t>
      </w:r>
      <w:r w:rsidRPr="00137E98">
        <w:rPr>
          <w:rFonts w:ascii="Arial" w:hAnsi="Arial" w:cs="Arial"/>
        </w:rPr>
        <w:t>The International Classification of Diseases, Tenth Revision, a standardized medical classification coding system. In this study, ICD-10 is used by attending physicians to standardize clinical diagnosis encoding within the EMR.</w:t>
      </w:r>
    </w:p>
    <w:p w14:paraId="79602867" w14:textId="77777777" w:rsidR="00A56FDE" w:rsidRPr="00137E98" w:rsidRDefault="00475594">
      <w:pPr>
        <w:ind w:left="360"/>
        <w:rPr>
          <w:rFonts w:ascii="Arial" w:hAnsi="Arial" w:cs="Arial"/>
        </w:rPr>
      </w:pPr>
      <w:r w:rsidRPr="00137E98">
        <w:rPr>
          <w:rFonts w:ascii="Arial" w:hAnsi="Arial" w:cs="Arial"/>
          <w:b/>
        </w:rPr>
        <w:t xml:space="preserve">ISO/IEC 25010 — </w:t>
      </w:r>
      <w:r w:rsidRPr="00137E98">
        <w:rPr>
          <w:rFonts w:ascii="Arial" w:hAnsi="Arial" w:cs="Arial"/>
        </w:rPr>
        <w:t>The international standard defining software product quality characteristics. In this study, it is the framework against which TMHIS is evaluated for functional suitability, reliability, security, and usability.</w:t>
      </w:r>
    </w:p>
    <w:p w14:paraId="78FAE542" w14:textId="77777777" w:rsidR="00A56FDE" w:rsidRPr="00137E98" w:rsidRDefault="00475594">
      <w:pPr>
        <w:ind w:left="360"/>
        <w:rPr>
          <w:rFonts w:ascii="Arial" w:hAnsi="Arial" w:cs="Arial"/>
        </w:rPr>
      </w:pPr>
      <w:r w:rsidRPr="00137E98">
        <w:rPr>
          <w:rFonts w:ascii="Arial" w:hAnsi="Arial" w:cs="Arial"/>
          <w:b/>
        </w:rPr>
        <w:t xml:space="preserve">Laravel — </w:t>
      </w:r>
      <w:r w:rsidRPr="00137E98">
        <w:rPr>
          <w:rFonts w:ascii="Arial" w:hAnsi="Arial" w:cs="Arial"/>
        </w:rPr>
        <w:t>An open-source PHP web application framework following the Model–View–Controller pattern, used in this study as the back-end framework for TMHIS.</w:t>
      </w:r>
    </w:p>
    <w:p w14:paraId="4C3A2045" w14:textId="77777777" w:rsidR="00A56FDE" w:rsidRPr="00137E98" w:rsidRDefault="00475594">
      <w:pPr>
        <w:ind w:left="360"/>
        <w:rPr>
          <w:rFonts w:ascii="Arial" w:hAnsi="Arial" w:cs="Arial"/>
        </w:rPr>
      </w:pPr>
      <w:r w:rsidRPr="00137E98">
        <w:rPr>
          <w:rFonts w:ascii="Arial" w:hAnsi="Arial" w:cs="Arial"/>
          <w:b/>
        </w:rPr>
        <w:t xml:space="preserve">Laboratory Information Management — </w:t>
      </w:r>
      <w:r w:rsidRPr="00137E98">
        <w:rPr>
          <w:rFonts w:ascii="Arial" w:hAnsi="Arial" w:cs="Arial"/>
        </w:rPr>
        <w:t>In this study, the system function covering electronic test requesting, specimen identification and tracking, result recording, and the return of validated results to the requesting patient record.</w:t>
      </w:r>
    </w:p>
    <w:p w14:paraId="6CF4C451" w14:textId="77777777" w:rsidR="00A56FDE" w:rsidRPr="00137E98" w:rsidRDefault="00475594">
      <w:pPr>
        <w:ind w:left="360"/>
        <w:rPr>
          <w:rFonts w:ascii="Arial" w:hAnsi="Arial" w:cs="Arial"/>
        </w:rPr>
      </w:pPr>
      <w:r w:rsidRPr="00137E98">
        <w:rPr>
          <w:rFonts w:ascii="Arial" w:hAnsi="Arial" w:cs="Arial"/>
          <w:b/>
        </w:rPr>
        <w:t xml:space="preserve">Near-Expiry Alert — </w:t>
      </w:r>
      <w:r w:rsidRPr="00137E98">
        <w:rPr>
          <w:rFonts w:ascii="Arial" w:hAnsi="Arial" w:cs="Arial"/>
        </w:rPr>
        <w:t>In this study, an automatic system notification raised when a medicine batch's expiration date falls within a configurable threshold, allowing pharmacy staff to act before the stock expires.</w:t>
      </w:r>
    </w:p>
    <w:p w14:paraId="051C3BAF" w14:textId="77777777" w:rsidR="00A56FDE" w:rsidRPr="00137E98" w:rsidRDefault="00475594">
      <w:pPr>
        <w:ind w:left="360"/>
        <w:rPr>
          <w:rFonts w:ascii="Arial" w:hAnsi="Arial" w:cs="Arial"/>
        </w:rPr>
      </w:pPr>
      <w:r w:rsidRPr="00137E98">
        <w:rPr>
          <w:rFonts w:ascii="Arial" w:hAnsi="Arial" w:cs="Arial"/>
          <w:b/>
        </w:rPr>
        <w:t xml:space="preserve">PhilHealth — </w:t>
      </w:r>
      <w:r w:rsidRPr="00137E98">
        <w:rPr>
          <w:rFonts w:ascii="Arial" w:hAnsi="Arial" w:cs="Arial"/>
        </w:rPr>
        <w:t>The Philippine Health Insurance Corporation, the government agency administering the National Health Insurance Program. In this study, PhilHealth refers only to the benefit deduction value encoded by billing staff and applied to a patient's computed charges; the system does not connect to, transmit to, or validate against any PhilHealth platform.</w:t>
      </w:r>
    </w:p>
    <w:p w14:paraId="272A5D8D" w14:textId="77777777" w:rsidR="00A56FDE" w:rsidRPr="00137E98" w:rsidRDefault="00475594">
      <w:pPr>
        <w:ind w:left="360"/>
        <w:rPr>
          <w:rFonts w:ascii="Arial" w:hAnsi="Arial" w:cs="Arial"/>
        </w:rPr>
      </w:pPr>
      <w:r w:rsidRPr="00137E98">
        <w:rPr>
          <w:rFonts w:ascii="Arial" w:hAnsi="Arial" w:cs="Arial"/>
          <w:b/>
        </w:rPr>
        <w:t xml:space="preserve">Republic Act No. 9994 (Expanded Senior Citizens Act of 2010) — </w:t>
      </w:r>
      <w:r w:rsidRPr="00137E98">
        <w:rPr>
          <w:rFonts w:ascii="Arial" w:hAnsi="Arial" w:cs="Arial"/>
        </w:rPr>
        <w:t>Philippine law granting statutory discounts to senior citizens. In this study, it refers to the automated 20% discount applied to eligible charges during billing computation.</w:t>
      </w:r>
    </w:p>
    <w:p w14:paraId="1F53ADCF" w14:textId="77777777" w:rsidR="00A56FDE" w:rsidRPr="00137E98" w:rsidRDefault="00475594">
      <w:pPr>
        <w:ind w:left="360"/>
        <w:rPr>
          <w:rFonts w:ascii="Arial" w:hAnsi="Arial" w:cs="Arial"/>
        </w:rPr>
      </w:pPr>
      <w:r w:rsidRPr="00137E98">
        <w:rPr>
          <w:rFonts w:ascii="Arial" w:hAnsi="Arial" w:cs="Arial"/>
          <w:b/>
        </w:rPr>
        <w:lastRenderedPageBreak/>
        <w:t xml:space="preserve">Republic Act No. 10173 (Data Privacy Act of 2012) — </w:t>
      </w:r>
      <w:r w:rsidRPr="00137E98">
        <w:rPr>
          <w:rFonts w:ascii="Arial" w:hAnsi="Arial" w:cs="Arial"/>
        </w:rPr>
        <w:t>Philippine law protecting individual personal information. In this study, it establishes the compliance baseline for role-based access control, password hashing, and user activity logging.</w:t>
      </w:r>
    </w:p>
    <w:p w14:paraId="683FB1E4" w14:textId="77777777" w:rsidR="00A56FDE" w:rsidRPr="00137E98" w:rsidRDefault="00475594">
      <w:pPr>
        <w:ind w:left="360"/>
        <w:rPr>
          <w:rFonts w:ascii="Arial" w:hAnsi="Arial" w:cs="Arial"/>
        </w:rPr>
      </w:pPr>
      <w:r w:rsidRPr="00137E98">
        <w:rPr>
          <w:rFonts w:ascii="Arial" w:hAnsi="Arial" w:cs="Arial"/>
          <w:b/>
        </w:rPr>
        <w:t xml:space="preserve">Republic Act No. 10754 (An Act Expanding the Benefits and Privileges of PWDs) — </w:t>
      </w:r>
      <w:r w:rsidRPr="00137E98">
        <w:rPr>
          <w:rFonts w:ascii="Arial" w:hAnsi="Arial" w:cs="Arial"/>
        </w:rPr>
        <w:t>Philippine law granting privileges to persons with disabilities. In this study, it governs the automated 20% discount applied to eligible PWD charges.</w:t>
      </w:r>
    </w:p>
    <w:p w14:paraId="6E9873E8" w14:textId="77777777" w:rsidR="00A56FDE" w:rsidRPr="00137E98" w:rsidRDefault="00475594">
      <w:pPr>
        <w:ind w:left="360"/>
        <w:rPr>
          <w:rFonts w:ascii="Arial" w:hAnsi="Arial" w:cs="Arial"/>
        </w:rPr>
      </w:pPr>
      <w:r w:rsidRPr="00137E98">
        <w:rPr>
          <w:rFonts w:ascii="Arial" w:hAnsi="Arial" w:cs="Arial"/>
          <w:b/>
        </w:rPr>
        <w:t xml:space="preserve">Role-Based Access Control (RBAC) — </w:t>
      </w:r>
      <w:r w:rsidRPr="00137E98">
        <w:rPr>
          <w:rFonts w:ascii="Arial" w:hAnsi="Arial" w:cs="Arial"/>
        </w:rPr>
        <w:t>A security model in which system permissions are granted to defined roles rather than to individual users. In this study, RBAC governs the nine TMHIS user roles, restricting each to the functions and records required by its duties.</w:t>
      </w:r>
    </w:p>
    <w:p w14:paraId="69A383B0" w14:textId="77777777" w:rsidR="00A56FDE" w:rsidRPr="00137E98" w:rsidRDefault="00475594">
      <w:pPr>
        <w:ind w:left="360"/>
        <w:rPr>
          <w:rFonts w:ascii="Arial" w:hAnsi="Arial" w:cs="Arial"/>
        </w:rPr>
      </w:pPr>
      <w:r w:rsidRPr="00137E98">
        <w:rPr>
          <w:rFonts w:ascii="Arial" w:hAnsi="Arial" w:cs="Arial"/>
          <w:b/>
        </w:rPr>
        <w:t xml:space="preserve">SOAP Format — </w:t>
      </w:r>
      <w:r w:rsidRPr="00137E98">
        <w:rPr>
          <w:rFonts w:ascii="Arial" w:hAnsi="Arial" w:cs="Arial"/>
        </w:rPr>
        <w:t>Subjective, Objective, Assessment, and Plan documentation standard. In this study, SOAP format structures the clinical consultation notes entered by attending physicians.</w:t>
      </w:r>
    </w:p>
    <w:p w14:paraId="40FFF33E" w14:textId="77777777" w:rsidR="00A56FDE" w:rsidRPr="00137E98" w:rsidRDefault="00475594">
      <w:pPr>
        <w:ind w:left="360"/>
        <w:rPr>
          <w:rFonts w:ascii="Arial" w:hAnsi="Arial" w:cs="Arial"/>
        </w:rPr>
      </w:pPr>
      <w:r w:rsidRPr="00137E98">
        <w:rPr>
          <w:rFonts w:ascii="Arial" w:hAnsi="Arial" w:cs="Arial"/>
          <w:b/>
        </w:rPr>
        <w:t xml:space="preserve">Unified Medical Information Access — </w:t>
      </w:r>
      <w:r w:rsidRPr="00137E98">
        <w:rPr>
          <w:rFonts w:ascii="Arial" w:hAnsi="Arial" w:cs="Arial"/>
        </w:rPr>
        <w:t>In this study, the consolidation of registration data, medical records, consultation notes, prescriptions, laboratory results, and treatment histories into one searchable platform, replacing retrieval from separate departmental physical files.</w:t>
      </w:r>
    </w:p>
    <w:p w14:paraId="3623787A" w14:textId="77777777" w:rsidR="00A56FDE" w:rsidRPr="00137E98" w:rsidRDefault="00475594">
      <w:pPr>
        <w:ind w:left="360"/>
        <w:rPr>
          <w:rFonts w:ascii="Arial" w:hAnsi="Arial" w:cs="Arial"/>
        </w:rPr>
      </w:pPr>
      <w:r w:rsidRPr="00137E98">
        <w:rPr>
          <w:rFonts w:ascii="Arial" w:hAnsi="Arial" w:cs="Arial"/>
          <w:b/>
        </w:rPr>
        <w:t xml:space="preserve">Walk-In Consultation Request — </w:t>
      </w:r>
      <w:r w:rsidRPr="00137E98">
        <w:rPr>
          <w:rFonts w:ascii="Arial" w:hAnsi="Arial" w:cs="Arial"/>
        </w:rPr>
        <w:t>In this study, a same-day request for consultation made in person at the admitting counter and logged into the system by staff, distinguished from a staff-assigned follow-up visit date, which is a return date set by hospital personnel and recorded in the patient's record.</w:t>
      </w:r>
    </w:p>
    <w:p w14:paraId="09D1A9D4" w14:textId="77777777" w:rsidR="00A56FDE" w:rsidRPr="00137E98" w:rsidRDefault="00475594">
      <w:pPr>
        <w:ind w:left="360"/>
        <w:rPr>
          <w:rFonts w:ascii="Arial" w:hAnsi="Arial" w:cs="Arial"/>
        </w:rPr>
      </w:pPr>
      <w:r w:rsidRPr="00137E98">
        <w:rPr>
          <w:rFonts w:ascii="Arial" w:hAnsi="Arial" w:cs="Arial"/>
          <w:b/>
        </w:rPr>
        <w:t xml:space="preserve">Walk-In Patient — </w:t>
      </w:r>
      <w:r w:rsidRPr="00137E98">
        <w:rPr>
          <w:rFonts w:ascii="Arial" w:hAnsi="Arial" w:cs="Arial"/>
        </w:rPr>
        <w:t>In this study, a patient who arrives at Tupi Municipal Hospital in person without a prior appointment and whose registration, consultation request, and queue placement are encoded by hospital staff. TMHIS provides no patient accounts, online booking, or patient-initiated inquiry facility.</w:t>
      </w:r>
    </w:p>
    <w:sectPr w:rsidR="00A56FDE" w:rsidRPr="00137E98"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4E333" w14:textId="77777777" w:rsidR="00475594" w:rsidRDefault="00475594" w:rsidP="00137E98">
      <w:pPr>
        <w:spacing w:after="0" w:line="240" w:lineRule="auto"/>
      </w:pPr>
      <w:r>
        <w:separator/>
      </w:r>
    </w:p>
  </w:endnote>
  <w:endnote w:type="continuationSeparator" w:id="0">
    <w:p w14:paraId="04EFD430" w14:textId="77777777" w:rsidR="00475594" w:rsidRDefault="00475594" w:rsidP="00137E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4C260" w14:textId="77777777" w:rsidR="00475594" w:rsidRDefault="00475594" w:rsidP="00137E98">
      <w:pPr>
        <w:spacing w:after="0" w:line="240" w:lineRule="auto"/>
      </w:pPr>
      <w:r>
        <w:separator/>
      </w:r>
    </w:p>
  </w:footnote>
  <w:footnote w:type="continuationSeparator" w:id="0">
    <w:p w14:paraId="7D17DECB" w14:textId="77777777" w:rsidR="00475594" w:rsidRDefault="00475594" w:rsidP="00137E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1257779">
    <w:abstractNumId w:val="8"/>
  </w:num>
  <w:num w:numId="2" w16cid:durableId="334962768">
    <w:abstractNumId w:val="6"/>
  </w:num>
  <w:num w:numId="3" w16cid:durableId="654142662">
    <w:abstractNumId w:val="5"/>
  </w:num>
  <w:num w:numId="4" w16cid:durableId="1050229276">
    <w:abstractNumId w:val="4"/>
  </w:num>
  <w:num w:numId="5" w16cid:durableId="1482697657">
    <w:abstractNumId w:val="7"/>
  </w:num>
  <w:num w:numId="6" w16cid:durableId="992097312">
    <w:abstractNumId w:val="3"/>
  </w:num>
  <w:num w:numId="7" w16cid:durableId="987320887">
    <w:abstractNumId w:val="2"/>
  </w:num>
  <w:num w:numId="8" w16cid:durableId="653337075">
    <w:abstractNumId w:val="1"/>
  </w:num>
  <w:num w:numId="9" w16cid:durableId="1655139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7E98"/>
    <w:rsid w:val="0015074B"/>
    <w:rsid w:val="00200D49"/>
    <w:rsid w:val="0029639D"/>
    <w:rsid w:val="00326F90"/>
    <w:rsid w:val="00475594"/>
    <w:rsid w:val="00610ECF"/>
    <w:rsid w:val="006C2B90"/>
    <w:rsid w:val="00842D34"/>
    <w:rsid w:val="00A56FD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63E48A7-A66E-4101-BCC1-D5B6E9C69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3332</Words>
  <Characters>18996</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Krvy Geagonia</cp:lastModifiedBy>
  <cp:revision>5</cp:revision>
  <dcterms:created xsi:type="dcterms:W3CDTF">2013-12-23T23:15:00Z</dcterms:created>
  <dcterms:modified xsi:type="dcterms:W3CDTF">2026-08-23T13:19:00Z</dcterms:modified>
  <cp:category/>
</cp:coreProperties>
</file>