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40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Enterprise AI Agent Runtime Platform (working codename: Warden)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System Architecture Specification</w:t>
      </w:r>
    </w:p>
    <w:p>
      <w:pPr>
        <w:spacing w:after="1200"/>
      </w:pPr>
      <w:r>
        <w:rPr>
          <w:rFonts w:ascii="Calibri" w:cs="Calibri" w:eastAsia="Calibri" w:hAnsi="Calibri"/>
          <w:color w:val="333333"/>
          <w:sz w:val="28"/>
          <w:szCs w:val="28"/>
        </w:rPr>
        <w:t xml:space="preserve">Components, process topology, trust boundaries, control and execution planes, runtime API, data flow, repository structure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WRD-02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Working specification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September 25, 2026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Architecture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Architects, engineers, security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t xml:space="preserve">1. Architectural constraints (invariants)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These constraints are checked by design review and, where possible, by automated tests.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Clients contain no agent logic.</w:t>
      </w:r>
      <w:r>
        <w:rPr>
          <w:rFonts w:ascii="Calibri" w:cs="Calibri" w:eastAsia="Calibri" w:hAnsi="Calibri"/>
        </w:rPr>
        <w:t xml:space="preserve"> Desktop, CLI and CI talk to the runtime through the Runtime API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Agents contain no provider code.</w:t>
      </w:r>
      <w:r>
        <w:rPr>
          <w:rFonts w:ascii="Calibri" w:cs="Calibri" w:eastAsia="Calibri" w:hAnsi="Calibri"/>
        </w:rPr>
        <w:t xml:space="preserve"> Agents see the Canonical Model API; adapters live behind the router.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Providers cannot execute tools.</w:t>
      </w:r>
      <w:r>
        <w:rPr>
          <w:rFonts w:ascii="Calibri" w:cs="Calibri" w:eastAsia="Calibri" w:hAnsi="Calibri"/>
        </w:rPr>
        <w:t xml:space="preserve"> Adapters return proposals; only the agent loop can turn a proposal into a PDP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Nothing executes without a decision.</w:t>
      </w:r>
      <w:r>
        <w:rPr>
          <w:rFonts w:ascii="Calibri" w:cs="Calibri" w:eastAsia="Calibri" w:hAnsi="Calibri"/>
        </w:rPr>
        <w:t xml:space="preserve"> Every tool execution is preceded by a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policy.decision</w:t>
      </w:r>
      <w:r>
        <w:rPr>
          <w:rFonts w:ascii="Calibri" w:cs="Calibri" w:eastAsia="Calibri" w:hAnsi="Calibri"/>
        </w:rPr>
        <w:t xml:space="preserve"> event with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effect: allow</w:t>
      </w:r>
      <w:r>
        <w:rPr>
          <w:rFonts w:ascii="Calibri" w:cs="Calibri" w:eastAsia="Calibri" w:hAnsi="Calibri"/>
        </w:rPr>
        <w:t xml:space="preserve"> and a matching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approval</w:t>
      </w:r>
      <w:r>
        <w:rPr>
          <w:rFonts w:ascii="Calibri" w:cs="Calibri" w:eastAsia="Calibri" w:hAnsi="Calibri"/>
        </w:rPr>
        <w:t xml:space="preserve"> when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Sandboxes hold no secrets and have no direct network.</w:t>
      </w:r>
      <w:r>
        <w:rPr>
          <w:rFonts w:ascii="Calibri" w:cs="Calibri" w:eastAsia="Calibri" w:hAnsi="Calibri"/>
        </w:rPr>
        <w:t xml:space="preserve"> Credentials are injected host-side; egress goes through the proxy.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Every execution has an owner, session, task and policy context.</w:t>
      </w:r>
      <w:r>
        <w:rPr>
          <w:rFonts w:ascii="Calibri" w:cs="Calibri" w:eastAsia="Calibri" w:hAnsi="Calibri"/>
        </w:rPr>
        <w:t xml:space="preserve"> Anonymous execution is impossible.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Local and remote execution share the same contracts.</w:t>
      </w:r>
      <w:r>
        <w:rPr>
          <w:rFonts w:ascii="Calibri" w:cs="Calibri" w:eastAsia="Calibri" w:hAnsi="Calibri"/>
        </w:rPr>
        <w:t xml:space="preserve"> Remote workers run the same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wardend</w:t>
      </w:r>
      <w:r>
        <w:rPr>
          <w:rFonts w:ascii="Calibri" w:cs="Calibri" w:eastAsia="Calibri" w:hAnsi="Calibri"/>
        </w:rPr>
        <w:t xml:space="preserve"> in server mode.</w:t>
      </w:r>
    </w:p>
    <w:p>
      <w:pPr>
        <w:pStyle w:val="Heading1"/>
        <w:spacing w:after="120" w:before="360"/>
      </w:pPr>
      <w:r>
        <w:t xml:space="preserve">2. Component view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102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1. Layered architecture.</w:t>
      </w:r>
    </w:p>
    <w:p>
      <w:pPr>
        <w:pStyle w:val="Heading2"/>
        <w:spacing w:after="120" w:before="240"/>
      </w:pPr>
      <w:r>
        <w:t xml:space="preserve">2.1 Experience layer (clients)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8"/>
        <w:gridCol w:w="3023"/>
        <w:gridCol w:w="4639"/>
      </w:tblGrid>
      <w:tr>
        <w:trPr>
          <w:cantSplit/>
          <w:tblHeader/>
        </w:trPr>
        <w:tc>
          <w:tcPr>
            <w:tcW w:type="dxa" w:w="13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tcW w:type="dxa" w:w="302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3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rPr>
          <w:cantSplit/>
          <w:tblHeader w:val="false"/>
        </w:trPr>
        <w:tc>
          <w:tcPr>
            <w:tcW w:type="dxa" w:w="13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Desktop app</w:t>
            </w:r>
          </w:p>
        </w:tc>
        <w:tc>
          <w:tcPr>
            <w:tcW w:type="dxa" w:w="302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Tauri 2 shell, React + TypeScript UI,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wardend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as sidecar</w:t>
            </w:r>
          </w:p>
        </w:tc>
        <w:tc>
          <w:tcPr>
            <w:tcW w:type="dxa" w:w="463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 entry, timeline, plan review, approvals, diff and artifact viewers, settings</w:t>
            </w:r>
          </w:p>
        </w:tc>
      </w:tr>
      <w:tr>
        <w:trPr>
          <w:cantSplit/>
          <w:tblHeader w:val="false"/>
        </w:trPr>
        <w:tc>
          <w:tcPr>
            <w:tcW w:type="dxa" w:w="13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 (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warden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302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Go, same module as the daemon</w:t>
            </w:r>
          </w:p>
        </w:tc>
        <w:tc>
          <w:tcPr>
            <w:tcW w:type="dxa" w:w="463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Scripting, headless runs (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--non-interactive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), audit export, eval runner, provider setup</w:t>
            </w:r>
          </w:p>
        </w:tc>
      </w:tr>
      <w:tr>
        <w:trPr>
          <w:cantSplit/>
          <w:tblHeader w:val="false"/>
        </w:trPr>
        <w:tc>
          <w:tcPr>
            <w:tcW w:type="dxa" w:w="13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</w:t>
            </w:r>
          </w:p>
        </w:tc>
        <w:tc>
          <w:tcPr>
            <w:tcW w:type="dxa" w:w="302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 in headless mode</w:t>
            </w:r>
          </w:p>
        </w:tc>
        <w:tc>
          <w:tcPr>
            <w:tcW w:type="dxa" w:w="463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Pre-approved policy, non-interactive approvals resolve to deny</w:t>
            </w:r>
          </w:p>
        </w:tc>
      </w:tr>
      <w:tr>
        <w:trPr>
          <w:cantSplit/>
          <w:tblHeader w:val="false"/>
        </w:trPr>
        <w:tc>
          <w:tcPr>
            <w:tcW w:type="dxa" w:w="13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Remote API (later)</w:t>
            </w:r>
          </w:p>
        </w:tc>
        <w:tc>
          <w:tcPr>
            <w:tcW w:type="dxa" w:w="302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WebSocket + mTLS</w:t>
            </w:r>
          </w:p>
        </w:tc>
        <w:tc>
          <w:tcPr>
            <w:tcW w:type="dxa" w:w="463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 plane and worker communication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2.2 Runtime kernel (`wardend`)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3"/>
        <w:gridCol w:w="5809"/>
        <w:gridCol w:w="1468"/>
      </w:tblGrid>
      <w:tr>
        <w:trPr>
          <w:cantSplit/>
          <w:tblHeader/>
        </w:trPr>
        <w:tc>
          <w:tcPr>
            <w:tcW w:type="dxa" w:w="172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0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46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interfaces</w:t>
            </w:r>
          </w:p>
        </w:tc>
      </w:tr>
      <w:tr>
        <w:trPr>
          <w:cantSplit/>
          <w:tblHeader w:val="false"/>
        </w:trPr>
        <w:tc>
          <w:tcPr>
            <w:tcW w:type="dxa" w:w="172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 manager</w:t>
            </w:r>
          </w:p>
        </w:tc>
        <w:tc>
          <w:tcPr>
            <w:tcW w:type="dxa" w:w="580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Sessions, transcripts, persistence, resume</w:t>
            </w:r>
          </w:p>
        </w:tc>
        <w:tc>
          <w:tcPr>
            <w:tcW w:type="dxa" w:w="146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Runtime API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session.*</w:t>
            </w:r>
          </w:p>
        </w:tc>
      </w:tr>
      <w:tr>
        <w:trPr>
          <w:cantSplit/>
          <w:tblHeader w:val="false"/>
        </w:trPr>
        <w:tc>
          <w:tcPr>
            <w:tcW w:type="dxa" w:w="172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580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Instantiates workflows, schedules ready tasks, joins, gates, retries, repair</w:t>
            </w:r>
          </w:p>
        </w:tc>
        <w:tc>
          <w:tcPr>
            <w:tcW w:type="dxa" w:w="146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WRD-07</w:t>
            </w:r>
          </w:p>
        </w:tc>
      </w:tr>
      <w:tr>
        <w:trPr>
          <w:cantSplit/>
          <w:tblHeader w:val="false"/>
        </w:trPr>
        <w:tc>
          <w:tcPr>
            <w:tcW w:type="dxa" w:w="172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loop</w:t>
            </w:r>
          </w:p>
        </w:tc>
        <w:tc>
          <w:tcPr>
            <w:tcW w:type="dxa" w:w="580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Context assembly, model call, proposal handling, budgets, compaction</w:t>
            </w:r>
          </w:p>
        </w:tc>
        <w:tc>
          <w:tcPr>
            <w:tcW w:type="dxa" w:w="146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WRD-05, WRD-08</w:t>
            </w:r>
          </w:p>
        </w:tc>
      </w:tr>
      <w:tr>
        <w:trPr>
          <w:cantSplit/>
          <w:tblHeader w:val="false"/>
        </w:trPr>
        <w:tc>
          <w:tcPr>
            <w:tcW w:type="dxa" w:w="172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Policy Decision Point (PDP)</w:t>
            </w:r>
          </w:p>
        </w:tc>
        <w:tc>
          <w:tcPr>
            <w:tcW w:type="dxa" w:w="580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Capability check, invariants, rule evaluation, obligations, approvals</w:t>
            </w:r>
          </w:p>
        </w:tc>
        <w:tc>
          <w:tcPr>
            <w:tcW w:type="dxa" w:w="146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WRD-08</w:t>
            </w:r>
          </w:p>
        </w:tc>
      </w:tr>
      <w:tr>
        <w:trPr>
          <w:cantSplit/>
          <w:tblHeader w:val="false"/>
        </w:trPr>
        <w:tc>
          <w:tcPr>
            <w:tcW w:type="dxa" w:w="172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 router</w:t>
            </w:r>
          </w:p>
        </w:tc>
        <w:tc>
          <w:tcPr>
            <w:tcW w:type="dxa" w:w="580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Candidate filtering by tier and capabilities, ranking, health, fallback</w:t>
            </w:r>
          </w:p>
        </w:tc>
        <w:tc>
          <w:tcPr>
            <w:tcW w:type="dxa" w:w="146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WRD-06</w:t>
            </w:r>
          </w:p>
        </w:tc>
      </w:tr>
      <w:tr>
        <w:trPr>
          <w:cantSplit/>
          <w:tblHeader w:val="false"/>
        </w:trPr>
        <w:tc>
          <w:tcPr>
            <w:tcW w:type="dxa" w:w="172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Context manager</w:t>
            </w:r>
          </w:p>
        </w:tc>
        <w:tc>
          <w:tcPr>
            <w:tcW w:type="dxa" w:w="580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Selection, classification, redaction, provenance</w:t>
            </w:r>
          </w:p>
        </w:tc>
        <w:tc>
          <w:tcPr>
            <w:tcW w:type="dxa" w:w="146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WRD-09</w:t>
            </w:r>
          </w:p>
        </w:tc>
      </w:tr>
      <w:tr>
        <w:trPr>
          <w:cantSplit/>
          <w:tblHeader w:val="false"/>
        </w:trPr>
        <w:tc>
          <w:tcPr>
            <w:tcW w:type="dxa" w:w="172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Secrets broker</w:t>
            </w:r>
          </w:p>
        </w:tc>
        <w:tc>
          <w:tcPr>
            <w:tcW w:type="dxa" w:w="580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Keychain access,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secret://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resolution, injection into adapters and proxy</w:t>
            </w:r>
          </w:p>
        </w:tc>
        <w:tc>
          <w:tcPr>
            <w:tcW w:type="dxa" w:w="146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WRD-10</w:t>
            </w:r>
          </w:p>
        </w:tc>
      </w:tr>
      <w:tr>
        <w:trPr>
          <w:cantSplit/>
          <w:tblHeader w:val="false"/>
        </w:trPr>
        <w:tc>
          <w:tcPr>
            <w:tcW w:type="dxa" w:w="172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Egress proxy</w:t>
            </w:r>
          </w:p>
        </w:tc>
        <w:tc>
          <w:tcPr>
            <w:tcW w:type="dxa" w:w="580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 CONNECT and SOCKS5 listener on a Unix socket per task; allowlist; credential injection</w:t>
            </w:r>
          </w:p>
        </w:tc>
        <w:tc>
          <w:tcPr>
            <w:tcW w:type="dxa" w:w="146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WRD-10</w:t>
            </w:r>
          </w:p>
        </w:tc>
      </w:tr>
      <w:tr>
        <w:trPr>
          <w:cantSplit/>
          <w:tblHeader w:val="false"/>
        </w:trPr>
        <w:tc>
          <w:tcPr>
            <w:tcW w:type="dxa" w:w="172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Sandbox manager</w:t>
            </w:r>
          </w:p>
        </w:tc>
        <w:tc>
          <w:tcPr>
            <w:tcW w:type="dxa" w:w="580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Creates and destroys sandboxes (L1/L2), launches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warden-exec</w:t>
            </w:r>
          </w:p>
        </w:tc>
        <w:tc>
          <w:tcPr>
            <w:tcW w:type="dxa" w:w="146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WRD-10</w:t>
            </w:r>
          </w:p>
        </w:tc>
      </w:tr>
      <w:tr>
        <w:trPr>
          <w:cantSplit/>
          <w:tblHeader w:val="false"/>
        </w:trPr>
        <w:tc>
          <w:tcPr>
            <w:tcW w:type="dxa" w:w="172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Worktree manager</w:t>
            </w:r>
          </w:p>
        </w:tc>
        <w:tc>
          <w:tcPr>
            <w:tcW w:type="dxa" w:w="580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Creates, pins, merges and cleans worktrees</w:t>
            </w:r>
          </w:p>
        </w:tc>
        <w:tc>
          <w:tcPr>
            <w:tcW w:type="dxa" w:w="146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WRD-07</w:t>
            </w:r>
          </w:p>
        </w:tc>
      </w:tr>
      <w:tr>
        <w:trPr>
          <w:cantSplit/>
          <w:tblHeader w:val="false"/>
        </w:trPr>
        <w:tc>
          <w:tcPr>
            <w:tcW w:type="dxa" w:w="172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Event and artifact store</w:t>
            </w:r>
          </w:p>
        </w:tc>
        <w:tc>
          <w:tcPr>
            <w:tcW w:type="dxa" w:w="580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SQLite, hash chain, content-addressed blobs</w:t>
            </w:r>
          </w:p>
        </w:tc>
        <w:tc>
          <w:tcPr>
            <w:tcW w:type="dxa" w:w="146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WRD-09</w:t>
            </w:r>
          </w:p>
        </w:tc>
      </w:tr>
      <w:tr>
        <w:trPr>
          <w:cantSplit/>
          <w:tblHeader w:val="false"/>
        </w:trPr>
        <w:tc>
          <w:tcPr>
            <w:tcW w:type="dxa" w:w="172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Telemetry</w:t>
            </w:r>
          </w:p>
        </w:tc>
        <w:tc>
          <w:tcPr>
            <w:tcW w:type="dxa" w:w="580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Usage, cost, durations</w:t>
            </w:r>
          </w:p>
        </w:tc>
        <w:tc>
          <w:tcPr>
            <w:tcW w:type="dxa" w:w="146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WRD-09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2.3 Ports and adapters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2"/>
        <w:gridCol w:w="3993"/>
        <w:gridCol w:w="3685"/>
      </w:tblGrid>
      <w:tr>
        <w:trPr>
          <w:cantSplit/>
          <w:tblHeader/>
        </w:trPr>
        <w:tc>
          <w:tcPr>
            <w:tcW w:type="dxa" w:w="132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99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Adapters (MVP)</w:t>
            </w:r>
          </w:p>
        </w:tc>
        <w:tc>
          <w:tcPr>
            <w:tcW w:type="dxa" w:w="368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Adapters (later)</w:t>
            </w:r>
          </w:p>
        </w:tc>
      </w:tr>
      <w:tr>
        <w:trPr>
          <w:cantSplit/>
          <w:tblHeader w:val="false"/>
        </w:trPr>
        <w:tc>
          <w:tcPr>
            <w:tcW w:type="dxa" w:w="132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 provider</w:t>
            </w:r>
          </w:p>
        </w:tc>
        <w:tc>
          <w:tcPr>
            <w:tcW w:type="dxa" w:w="399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anthropic-messages, openai-chat, openai-responses, openai-compatible</w:t>
            </w:r>
          </w:p>
        </w:tc>
        <w:tc>
          <w:tcPr>
            <w:tcW w:type="dxa" w:w="368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gemini, bedrock-converse, vertex, foundry (auth variants), ollama-native</w:t>
            </w:r>
          </w:p>
        </w:tc>
      </w:tr>
      <w:tr>
        <w:trPr>
          <w:cantSplit/>
          <w:tblHeader w:val="false"/>
        </w:trPr>
        <w:tc>
          <w:tcPr>
            <w:tcW w:type="dxa" w:w="132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External harness</w:t>
            </w:r>
          </w:p>
        </w:tc>
        <w:tc>
          <w:tcPr>
            <w:tcW w:type="dxa" w:w="399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copilot-sdk (optional)</w:t>
            </w:r>
          </w:p>
        </w:tc>
        <w:tc>
          <w:tcPr>
            <w:tcW w:type="dxa" w:w="368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codex-sdk, claude-code-headless (API-key billing)</w:t>
            </w:r>
          </w:p>
        </w:tc>
      </w:tr>
      <w:tr>
        <w:trPr>
          <w:cantSplit/>
          <w:tblHeader w:val="false"/>
        </w:trPr>
        <w:tc>
          <w:tcPr>
            <w:tcW w:type="dxa" w:w="132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 executor</w:t>
            </w:r>
          </w:p>
        </w:tc>
        <w:tc>
          <w:tcPr>
            <w:tcW w:type="dxa" w:w="399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warden-exec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(fs, proc, git)</w:t>
            </w:r>
          </w:p>
        </w:tc>
        <w:tc>
          <w:tcPr>
            <w:tcW w:type="dxa" w:w="368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MCP stdio bridge, browser, cloud, database</w:t>
            </w:r>
          </w:p>
        </w:tc>
      </w:tr>
      <w:tr>
        <w:trPr>
          <w:cantSplit/>
          <w:tblHeader w:val="false"/>
        </w:trPr>
        <w:tc>
          <w:tcPr>
            <w:tcW w:type="dxa" w:w="132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Sandbox backend</w:t>
            </w:r>
          </w:p>
        </w:tc>
        <w:tc>
          <w:tcPr>
            <w:tcW w:type="dxa" w:w="399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bubblewrap (Linux), seatbelt (macOS), OCI container (Docker/Podman)</w:t>
            </w:r>
          </w:p>
        </w:tc>
        <w:tc>
          <w:tcPr>
            <w:tcW w:type="dxa" w:w="368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gVisor, Firecracker, Apple containers</w:t>
            </w:r>
          </w:p>
        </w:tc>
      </w:tr>
      <w:tr>
        <w:trPr>
          <w:cantSplit/>
          <w:tblHeader w:val="false"/>
        </w:trPr>
        <w:tc>
          <w:tcPr>
            <w:tcW w:type="dxa" w:w="132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Secret store</w:t>
            </w:r>
          </w:p>
        </w:tc>
        <w:tc>
          <w:tcPr>
            <w:tcW w:type="dxa" w:w="399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macOS Keychain, Windows Credential Manager, libsecret; encrypted file fallback</w:t>
            </w:r>
          </w:p>
        </w:tc>
        <w:tc>
          <w:tcPr>
            <w:tcW w:type="dxa" w:w="368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HashiCorp Vault, cloud secret managers (control plane)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t xml:space="preserve">3. Process topology and IPC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1025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2. Process topology.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Daemon lifecycle.</w:t>
      </w:r>
      <w:r>
        <w:rPr>
          <w:rFonts w:ascii="Calibri" w:cs="Calibri" w:eastAsia="Calibri" w:hAnsi="Calibri"/>
        </w:rPr>
        <w:t xml:space="preserve"> The desktop shell starts the sidecar and passes a random session token via stdin; the CLI reads the token from a mode-0600 file under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~/.warden/run/</w:t>
      </w:r>
      <w:r>
        <w:rPr>
          <w:rFonts w:ascii="Calibri" w:cs="Calibri" w:eastAsia="Calibri" w:hAnsi="Calibri"/>
        </w:rPr>
        <w:t xml:space="preserve">. One daemon per user; multiple clients may attach.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Transport.</w:t>
      </w:r>
      <w:r>
        <w:rPr>
          <w:rFonts w:ascii="Calibri" w:cs="Calibri" w:eastAsia="Calibri" w:hAnsi="Calibri"/>
        </w:rPr>
        <w:t xml:space="preserve"> JSON-RPC 2.0 with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Content-Length</w:t>
      </w:r>
      <w:r>
        <w:rPr>
          <w:rFonts w:ascii="Calibri" w:cs="Calibri" w:eastAsia="Calibri" w:hAnsi="Calibri"/>
        </w:rPr>
        <w:t xml:space="preserve"> framing (LSP style) over a Unix domain socket (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~/.warden/run/wardend.sock</w:t>
      </w:r>
      <w:r>
        <w:rPr>
          <w:rFonts w:ascii="Calibri" w:cs="Calibri" w:eastAsia="Calibri" w:hAnsi="Calibri"/>
        </w:rPr>
        <w:t xml:space="preserve">, mode 0600) or a Windows named pipe with an owner-only DACL. Server-initiated notifications carry streamed events.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Executor channel.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wardend</w:t>
      </w:r>
      <w:r>
        <w:rPr>
          <w:rFonts w:ascii="Calibri" w:cs="Calibri" w:eastAsia="Calibri" w:hAnsi="Calibri"/>
        </w:rPr>
        <w:t xml:space="preserve"> launches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warden-exec</w:t>
      </w:r>
      <w:r>
        <w:rPr>
          <w:rFonts w:ascii="Calibri" w:cs="Calibri" w:eastAsia="Calibri" w:hAnsi="Calibri"/>
        </w:rPr>
        <w:t xml:space="preserve"> inside the sandbox with a socketpair; messages are JSON-RPC too (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exec.fs.read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exec.proc.spawn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exec.proc.signal</w:t>
      </w:r>
      <w:r>
        <w:rPr>
          <w:rFonts w:ascii="Calibri" w:cs="Calibri" w:eastAsia="Calibri" w:hAnsi="Calibri"/>
        </w:rPr>
        <w:t xml:space="preserve">, …). The executor has no other communication channel.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Proxy channel.</w:t>
      </w:r>
      <w:r>
        <w:rPr>
          <w:rFonts w:ascii="Calibri" w:cs="Calibri" w:eastAsia="Calibri" w:hAnsi="Calibri"/>
        </w:rPr>
        <w:t xml:space="preserve"> The sandbox receives one Unix socket (bind-mounted) that terminates in the daemon's per-task proxy. Environment inside the sandbox sets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HTTP_PROXY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HTTPS_PROXY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ALL_PROXY</w:t>
      </w:r>
      <w:r>
        <w:rPr>
          <w:rFonts w:ascii="Calibri" w:cs="Calibri" w:eastAsia="Calibri" w:hAnsi="Calibri"/>
        </w:rPr>
        <w:t xml:space="preserve"> to that socket through a tiny in-sandbox forwarder (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warden-exec proxy</w:t>
      </w:r>
      <w:r>
        <w:rPr>
          <w:rFonts w:ascii="Calibri" w:cs="Calibri" w:eastAsia="Calibri" w:hAnsi="Calibri"/>
        </w:rPr>
        <w:t xml:space="preserve">) exposing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127.0.0.1:&lt;port&gt;</w:t>
      </w:r>
      <w:r>
        <w:rPr>
          <w:rFonts w:ascii="Calibri" w:cs="Calibri" w:eastAsia="Calibri" w:hAnsi="Calibri"/>
        </w:rPr>
        <w:t xml:space="preserve"> inside the network namespace only.</w:t>
      </w:r>
    </w:p>
    <w:p>
      <w:pPr>
        <w:pStyle w:val="Heading1"/>
        <w:spacing w:after="120" w:before="360"/>
      </w:pPr>
      <w:r>
        <w:t xml:space="preserve">4. Runtime API (summary)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5"/>
        <w:gridCol w:w="7685"/>
      </w:tblGrid>
      <w:tr>
        <w:trPr>
          <w:cantSplit/>
          <w:tblHeader/>
        </w:trPr>
        <w:tc>
          <w:tcPr>
            <w:tcW w:type="dxa" w:w="131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Namespace</w:t>
            </w:r>
          </w:p>
        </w:tc>
        <w:tc>
          <w:tcPr>
            <w:tcW w:type="dxa" w:w="768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Methods (selection)</w:t>
            </w:r>
          </w:p>
        </w:tc>
      </w:tr>
      <w:tr>
        <w:trPr>
          <w:cantSplit/>
          <w:tblHeader w:val="false"/>
        </w:trPr>
        <w:tc>
          <w:tcPr>
            <w:tcW w:type="dxa" w:w="131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session</w:t>
            </w:r>
          </w:p>
        </w:tc>
        <w:tc>
          <w:tcPr>
            <w:tcW w:type="dxa" w:w="768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open(workspace)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list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resume(id)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close(id)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sendRequest(id, text)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cancel(id, taskId?)</w:t>
            </w:r>
          </w:p>
        </w:tc>
      </w:tr>
      <w:tr>
        <w:trPr>
          <w:cantSplit/>
          <w:tblHeader w:val="false"/>
        </w:trPr>
        <w:tc>
          <w:tcPr>
            <w:tcW w:type="dxa" w:w="131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workflow</w:t>
            </w:r>
          </w:p>
        </w:tc>
        <w:tc>
          <w:tcPr>
            <w:tcW w:type="dxa" w:w="768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get(runId)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approveGate(runId, gateId, decision)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editPlan(runId, plan)</w:t>
            </w:r>
          </w:p>
        </w:tc>
      </w:tr>
      <w:tr>
        <w:trPr>
          <w:cantSplit/>
          <w:tblHeader w:val="false"/>
        </w:trPr>
        <w:tc>
          <w:tcPr>
            <w:tcW w:type="dxa" w:w="131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approval</w:t>
            </w:r>
          </w:p>
        </w:tc>
        <w:tc>
          <w:tcPr>
            <w:tcW w:type="dxa" w:w="768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list(sessionId)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resolve(approvalId, decision, scope)</w:t>
            </w:r>
          </w:p>
        </w:tc>
      </w:tr>
      <w:tr>
        <w:trPr>
          <w:cantSplit/>
          <w:tblHeader w:val="false"/>
        </w:trPr>
        <w:tc>
          <w:tcPr>
            <w:tcW w:type="dxa" w:w="131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artifact</w:t>
            </w:r>
          </w:p>
        </w:tc>
        <w:tc>
          <w:tcPr>
            <w:tcW w:type="dxa" w:w="768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list(sessionId)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get(id)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read(id, range)</w:t>
            </w:r>
          </w:p>
        </w:tc>
      </w:tr>
      <w:tr>
        <w:trPr>
          <w:cantSplit/>
          <w:tblHeader w:val="false"/>
        </w:trPr>
        <w:tc>
          <w:tcPr>
            <w:tcW w:type="dxa" w:w="131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event</w:t>
            </w:r>
          </w:p>
        </w:tc>
        <w:tc>
          <w:tcPr>
            <w:tcW w:type="dxa" w:w="768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subscribe(sessionId, filter)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query(filter, cursor)</w:t>
            </w:r>
          </w:p>
        </w:tc>
      </w:tr>
      <w:tr>
        <w:trPr>
          <w:cantSplit/>
          <w:tblHeader w:val="false"/>
        </w:trPr>
        <w:tc>
          <w:tcPr>
            <w:tcW w:type="dxa" w:w="131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provider</w:t>
            </w:r>
          </w:p>
        </w:tc>
        <w:tc>
          <w:tcPr>
            <w:tcW w:type="dxa" w:w="768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list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configure(spec)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test(id)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models(id)</w:t>
            </w:r>
          </w:p>
        </w:tc>
      </w:tr>
      <w:tr>
        <w:trPr>
          <w:cantSplit/>
          <w:tblHeader w:val="false"/>
        </w:trPr>
        <w:tc>
          <w:tcPr>
            <w:tcW w:type="dxa" w:w="131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policy</w:t>
            </w:r>
          </w:p>
        </w:tc>
        <w:tc>
          <w:tcPr>
            <w:tcW w:type="dxa" w:w="768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explain(actionSpec)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list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reload</w:t>
            </w:r>
          </w:p>
        </w:tc>
      </w:tr>
      <w:tr>
        <w:trPr>
          <w:cantSplit/>
          <w:tblHeader w:val="false"/>
        </w:trPr>
        <w:tc>
          <w:tcPr>
            <w:tcW w:type="dxa" w:w="131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eval</w:t>
            </w:r>
          </w:p>
        </w:tc>
        <w:tc>
          <w:tcPr>
            <w:tcW w:type="dxa" w:w="768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run(suite, options)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report(runId)</w:t>
            </w:r>
          </w:p>
        </w:tc>
      </w:tr>
      <w:tr>
        <w:trPr>
          <w:cantSplit/>
          <w:tblHeader w:val="false"/>
        </w:trPr>
        <w:tc>
          <w:tcPr>
            <w:tcW w:type="dxa" w:w="131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system</w:t>
            </w:r>
          </w:p>
        </w:tc>
        <w:tc>
          <w:tcPr>
            <w:tcW w:type="dxa" w:w="768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version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capabilities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sandboxStatus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shutdown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All methods require the session token. Methods with side effects outside the daemon (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provider.configure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policy.reload</w:t>
      </w:r>
      <w:r>
        <w:rPr>
          <w:rFonts w:ascii="Calibri" w:cs="Calibri" w:eastAsia="Calibri" w:hAnsi="Calibri"/>
        </w:rPr>
        <w:t xml:space="preserve">) also require an interactive confirmation in the client. The full API is generated from a schema in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schemas/runtime-api/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spacing w:after="120" w:before="360"/>
      </w:pPr>
      <w:r>
        <w:t xml:space="preserve">5. Trust boundaries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1025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3. Trust boundaries.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0"/>
        <w:gridCol w:w="6820"/>
      </w:tblGrid>
      <w:tr>
        <w:trPr>
          <w:cantSplit/>
          <w:tblHeader/>
        </w:trPr>
        <w:tc>
          <w:tcPr>
            <w:tcW w:type="dxa" w:w="218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Boundary</w:t>
            </w:r>
          </w:p>
        </w:tc>
        <w:tc>
          <w:tcPr>
            <w:tcW w:type="dxa" w:w="68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</w:tr>
      <w:tr>
        <w:trPr>
          <w:cantSplit/>
          <w:tblHeader w:val="false"/>
        </w:trPr>
        <w:tc>
          <w:tcPr>
            <w:tcW w:type="dxa" w:w="218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↔ client</w:t>
            </w:r>
          </w:p>
        </w:tc>
        <w:tc>
          <w:tcPr>
            <w:tcW w:type="dxa" w:w="68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 user session; client shows what will be done before it is done</w:t>
            </w:r>
          </w:p>
        </w:tc>
      </w:tr>
      <w:tr>
        <w:trPr>
          <w:cantSplit/>
          <w:tblHeader w:val="false"/>
        </w:trPr>
        <w:tc>
          <w:tcPr>
            <w:tcW w:type="dxa" w:w="218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↔ runtime</w:t>
            </w:r>
          </w:p>
        </w:tc>
        <w:tc>
          <w:tcPr>
            <w:tcW w:type="dxa" w:w="68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Owner-only socket, per-session token, no privileged methods without confirmation</w:t>
            </w:r>
          </w:p>
        </w:tc>
      </w:tr>
      <w:tr>
        <w:trPr>
          <w:cantSplit/>
          <w:tblHeader w:val="false"/>
        </w:trPr>
        <w:tc>
          <w:tcPr>
            <w:tcW w:type="dxa" w:w="218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Runtime ↔ agent package</w:t>
            </w:r>
          </w:p>
        </w:tc>
        <w:tc>
          <w:tcPr>
            <w:tcW w:type="dxa" w:w="68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Digest-pinned packages; manifest defines maximum capabilities; signature verification (warn in MVP, enforce in enterprise)</w:t>
            </w:r>
          </w:p>
        </w:tc>
      </w:tr>
      <w:tr>
        <w:trPr>
          <w:cantSplit/>
          <w:tblHeader w:val="false"/>
        </w:trPr>
        <w:tc>
          <w:tcPr>
            <w:tcW w:type="dxa" w:w="218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Runtime ↔ model provider</w:t>
            </w:r>
          </w:p>
        </w:tc>
        <w:tc>
          <w:tcPr>
            <w:tcW w:type="dxa" w:w="68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Host-side TLS; credentials from the broker; data classification enforced by the router; requests logged without secrets</w:t>
            </w:r>
          </w:p>
        </w:tc>
      </w:tr>
      <w:tr>
        <w:trPr>
          <w:cantSplit/>
          <w:tblHeader w:val="false"/>
        </w:trPr>
        <w:tc>
          <w:tcPr>
            <w:tcW w:type="dxa" w:w="218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Runtime ↔ sandbox</w:t>
            </w:r>
          </w:p>
        </w:tc>
        <w:tc>
          <w:tcPr>
            <w:tcW w:type="dxa" w:w="68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Capability grants become concrete mounts, seccomp/Seatbelt profiles, namespaces, resource limits</w:t>
            </w:r>
          </w:p>
        </w:tc>
      </w:tr>
      <w:tr>
        <w:trPr>
          <w:cantSplit/>
          <w:tblHeader w:val="false"/>
        </w:trPr>
        <w:tc>
          <w:tcPr>
            <w:tcW w:type="dxa" w:w="218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Sandbox ↔ network</w:t>
            </w:r>
          </w:p>
        </w:tc>
        <w:tc>
          <w:tcPr>
            <w:tcW w:type="dxa" w:w="68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Proxy only; allowlist; injected credentials never visible to processes</w:t>
            </w:r>
          </w:p>
        </w:tc>
      </w:tr>
      <w:tr>
        <w:trPr>
          <w:cantSplit/>
          <w:tblHeader w:val="false"/>
        </w:trPr>
        <w:tc>
          <w:tcPr>
            <w:tcW w:type="dxa" w:w="218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Runtime ↔ secrets</w:t>
            </w:r>
          </w:p>
        </w:tc>
        <w:tc>
          <w:tcPr>
            <w:tcW w:type="dxa" w:w="68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References only; values live in the keychain; access events recorded</w:t>
            </w:r>
          </w:p>
        </w:tc>
      </w:tr>
      <w:tr>
        <w:trPr>
          <w:cantSplit/>
          <w:tblHeader w:val="false"/>
        </w:trPr>
        <w:tc>
          <w:tcPr>
            <w:tcW w:type="dxa" w:w="218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↔ remote (later)</w:t>
            </w:r>
          </w:p>
        </w:tc>
        <w:tc>
          <w:tcPr>
            <w:tcW w:type="dxa" w:w="68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mTLS worker identity; signed bundles; event sync with chain verification</w:t>
            </w:r>
          </w:p>
        </w:tc>
      </w:tr>
      <w:tr>
        <w:trPr>
          <w:cantSplit/>
          <w:tblHeader w:val="false"/>
        </w:trPr>
        <w:tc>
          <w:tcPr>
            <w:tcW w:type="dxa" w:w="218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 plane ↔ execution plane (later)</w:t>
            </w:r>
          </w:p>
        </w:tc>
        <w:tc>
          <w:tcPr>
            <w:tcW w:type="dxa" w:w="68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Signed policy and registry bundles with TTL; offline behavior defined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t xml:space="preserve">6. Data flow for one task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Orchestrator marks task ready; sandbox manager creates the sandbox and mounts the worktree; proxy allocates a per-task listener with the task's egress allowlist.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Agent loop assembles context (instructions, inputs, artifact summaries, workspace map) with provenance and redaction.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Router selects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(provider, model)</w:t>
      </w:r>
      <w:r>
        <w:rPr>
          <w:rFonts w:ascii="Calibri" w:cs="Calibri" w:eastAsia="Calibri" w:hAnsi="Calibri"/>
        </w:rPr>
        <w:t xml:space="preserve">; adapter converts the request; the call is made from the daemon.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Streamed events update the UI and are persisted.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Tool proposals go to the PDP; decisions and approvals are events; approved actions are sent to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warden-exec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Results are tagged untrusted, secret-scanned, and appended to context.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On completion the output is validated; artifacts are stored; the sandbox is destroyed; the worktree remains until integration and cleanup.</w:t>
      </w:r>
    </w:p>
    <w:p>
      <w:pPr>
        <w:pStyle w:val="Heading1"/>
        <w:spacing w:after="120" w:before="360"/>
      </w:pPr>
      <w:r>
        <w:t xml:space="preserve">7. Control plane and execution plane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MVP contains only the execution plane. The interfaces that the control plane will use later are fixed now: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2"/>
        <w:gridCol w:w="2298"/>
        <w:gridCol w:w="5330"/>
      </w:tblGrid>
      <w:tr>
        <w:trPr>
          <w:cantSplit/>
          <w:tblHeader/>
        </w:trPr>
        <w:tc>
          <w:tcPr>
            <w:tcW w:type="dxa" w:w="13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Contract</w:t>
            </w:r>
          </w:p>
        </w:tc>
        <w:tc>
          <w:tcPr>
            <w:tcW w:type="dxa" w:w="229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MVP source</w:t>
            </w:r>
          </w:p>
        </w:tc>
        <w:tc>
          <w:tcPr>
            <w:tcW w:type="dxa" w:w="533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Control-plane source (Phase 3)</w:t>
            </w:r>
          </w:p>
        </w:tc>
      </w:tr>
      <w:tr>
        <w:trPr>
          <w:cantSplit/>
          <w:tblHeader w:val="false"/>
        </w:trPr>
        <w:tc>
          <w:tcPr>
            <w:tcW w:type="dxa" w:w="13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Policy bundle</w:t>
            </w:r>
          </w:p>
        </w:tc>
        <w:tc>
          <w:tcPr>
            <w:tcW w:type="dxa" w:w="229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~/.warden/policy/*.yaml</w:t>
            </w:r>
          </w:p>
        </w:tc>
        <w:tc>
          <w:tcPr>
            <w:tcW w:type="dxa" w:w="533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Signed bundle from the policy service, cached with TTL</w:t>
            </w:r>
          </w:p>
        </w:tc>
      </w:tr>
      <w:tr>
        <w:trPr>
          <w:cantSplit/>
          <w:tblHeader w:val="false"/>
        </w:trPr>
        <w:tc>
          <w:tcPr>
            <w:tcW w:type="dxa" w:w="13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package</w:t>
            </w:r>
          </w:p>
        </w:tc>
        <w:tc>
          <w:tcPr>
            <w:tcW w:type="dxa" w:w="229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~/.warden/agents/</w:t>
            </w:r>
          </w:p>
        </w:tc>
        <w:tc>
          <w:tcPr>
            <w:tcW w:type="dxa" w:w="533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OCI registry, digest-pinned, signature required</w:t>
            </w:r>
          </w:p>
        </w:tc>
      </w:tr>
      <w:tr>
        <w:trPr>
          <w:cantSplit/>
          <w:tblHeader w:val="false"/>
        </w:trPr>
        <w:tc>
          <w:tcPr>
            <w:tcW w:type="dxa" w:w="13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 catalog</w:t>
            </w:r>
          </w:p>
        </w:tc>
        <w:tc>
          <w:tcPr>
            <w:tcW w:type="dxa" w:w="229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~/.warden/models.yaml</w:t>
            </w:r>
          </w:p>
        </w:tc>
        <w:tc>
          <w:tcPr>
            <w:tcW w:type="dxa" w:w="533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 and provider registry with tiers and credential refs</w:t>
            </w:r>
          </w:p>
        </w:tc>
      </w:tr>
      <w:tr>
        <w:trPr>
          <w:cantSplit/>
          <w:tblHeader w:val="false"/>
        </w:trPr>
        <w:tc>
          <w:tcPr>
            <w:tcW w:type="dxa" w:w="13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Events</w:t>
            </w:r>
          </w:p>
        </w:tc>
        <w:tc>
          <w:tcPr>
            <w:tcW w:type="dxa" w:w="229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SQLite</w:t>
            </w:r>
          </w:p>
        </w:tc>
        <w:tc>
          <w:tcPr>
            <w:tcW w:type="dxa" w:w="533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SQLite plus streaming to audit ingestion</w:t>
            </w:r>
          </w:p>
        </w:tc>
      </w:tr>
      <w:tr>
        <w:trPr>
          <w:cantSplit/>
          <w:tblHeader w:val="false"/>
        </w:trPr>
        <w:tc>
          <w:tcPr>
            <w:tcW w:type="dxa" w:w="137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Identity</w:t>
            </w:r>
          </w:p>
        </w:tc>
        <w:tc>
          <w:tcPr>
            <w:tcW w:type="dxa" w:w="229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 user</w:t>
            </w:r>
          </w:p>
        </w:tc>
        <w:tc>
          <w:tcPr>
            <w:tcW w:type="dxa" w:w="533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OIDC identity token bound to the daemon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t xml:space="preserve">8. Technology decisions (see WRD-00 D-06, D-31)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6"/>
        <w:gridCol w:w="1381"/>
        <w:gridCol w:w="6303"/>
      </w:tblGrid>
      <w:tr>
        <w:trPr>
          <w:cantSplit/>
          <w:tblHeader/>
        </w:trPr>
        <w:tc>
          <w:tcPr>
            <w:tcW w:type="dxa" w:w="131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138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630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Alternatives considered</w:t>
            </w:r>
          </w:p>
        </w:tc>
      </w:tr>
      <w:tr>
        <w:trPr>
          <w:cantSplit/>
          <w:tblHeader w:val="false"/>
        </w:trPr>
        <w:tc>
          <w:tcPr>
            <w:tcW w:type="dxa" w:w="131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Runtime language</w:t>
            </w:r>
          </w:p>
        </w:tc>
        <w:tc>
          <w:tcPr>
            <w:tcW w:type="dxa" w:w="138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</w:t>
            </w:r>
          </w:p>
        </w:tc>
        <w:tc>
          <w:tcPr>
            <w:tcW w:type="dxa" w:w="630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Rust (stronger memory safety, slower iteration; revisit for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warden-exec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if audits demand), TypeScript (team familiarity, weaker process control)</w:t>
            </w:r>
          </w:p>
        </w:tc>
      </w:tr>
      <w:tr>
        <w:trPr>
          <w:cantSplit/>
          <w:tblHeader w:val="false"/>
        </w:trPr>
        <w:tc>
          <w:tcPr>
            <w:tcW w:type="dxa" w:w="131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Desktop shell</w:t>
            </w:r>
          </w:p>
        </w:tc>
        <w:tc>
          <w:tcPr>
            <w:tcW w:type="dxa" w:w="138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Tauri 2</w:t>
            </w:r>
          </w:p>
        </w:tc>
        <w:tc>
          <w:tcPr>
            <w:tcW w:type="dxa" w:w="630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Wails (Go-native, fewer security features), Electron (heavier)</w:t>
            </w:r>
          </w:p>
        </w:tc>
      </w:tr>
      <w:tr>
        <w:trPr>
          <w:cantSplit/>
          <w:tblHeader w:val="false"/>
        </w:trPr>
        <w:tc>
          <w:tcPr>
            <w:tcW w:type="dxa" w:w="131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UI</w:t>
            </w:r>
          </w:p>
        </w:tc>
        <w:tc>
          <w:tcPr>
            <w:tcW w:type="dxa" w:w="138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630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31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store</w:t>
            </w:r>
          </w:p>
        </w:tc>
        <w:tc>
          <w:tcPr>
            <w:tcW w:type="dxa" w:w="138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SQLite (WAL)</w:t>
            </w:r>
          </w:p>
        </w:tc>
        <w:tc>
          <w:tcPr>
            <w:tcW w:type="dxa" w:w="630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Embedded KV stores; rejected for weaker querying</w:t>
            </w:r>
          </w:p>
        </w:tc>
      </w:tr>
      <w:tr>
        <w:trPr>
          <w:cantSplit/>
          <w:tblHeader w:val="false"/>
        </w:trPr>
        <w:tc>
          <w:tcPr>
            <w:tcW w:type="dxa" w:w="131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Policy expressions</w:t>
            </w:r>
          </w:p>
        </w:tc>
        <w:tc>
          <w:tcPr>
            <w:tcW w:type="dxa" w:w="138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CEL (cel-go)</w:t>
            </w:r>
          </w:p>
        </w:tc>
        <w:tc>
          <w:tcPr>
            <w:tcW w:type="dxa" w:w="630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Rego/OPA (heavier, available later as a backend)</w:t>
            </w:r>
          </w:p>
        </w:tc>
      </w:tr>
      <w:tr>
        <w:trPr>
          <w:cantSplit/>
          <w:tblHeader w:val="false"/>
        </w:trPr>
        <w:tc>
          <w:tcPr>
            <w:tcW w:type="dxa" w:w="131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IPC</w:t>
            </w:r>
          </w:p>
        </w:tc>
        <w:tc>
          <w:tcPr>
            <w:tcW w:type="dxa" w:w="138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JSON-RPC 2.0</w:t>
            </w:r>
          </w:p>
        </w:tc>
        <w:tc>
          <w:tcPr>
            <w:tcW w:type="dxa" w:w="630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gRPC (poor fit for webview clients without a bridge)</w:t>
            </w:r>
          </w:p>
        </w:tc>
      </w:tr>
      <w:tr>
        <w:trPr>
          <w:cantSplit/>
          <w:tblHeader w:val="false"/>
        </w:trPr>
        <w:tc>
          <w:tcPr>
            <w:tcW w:type="dxa" w:w="131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Packaging</w:t>
            </w:r>
          </w:p>
        </w:tc>
        <w:tc>
          <w:tcPr>
            <w:tcW w:type="dxa" w:w="138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OCI artifacts + sigstore/Ed25519</w:t>
            </w:r>
          </w:p>
        </w:tc>
        <w:tc>
          <w:tcPr>
            <w:tcW w:type="dxa" w:w="630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 formats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t xml:space="preserve">9. Repository structure</w:t>
      </w:r>
    </w:p>
    <w:p>
      <w:pPr>
        <w:keepLines/>
        <w:pBdr>
          <w:top w:val="single" w:color="D0D5DB" w:sz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warden/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cmd/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wardend/            # daemon entry point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warden/             # CLI entry point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warden-exec/        # in-sandbox executor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internal/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api/                # JSON-RPC server, schema, auth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session/            # sessions, transcripts, persistence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orchestrator/       # workflow instantiation, scheduler, gates, repair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agentloop/          # context, model call, proposals, budgets, compaction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policy/             # PDP, rule loading, CEL, approvals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router/             # candidate selection, health, fallback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model/              # canonical API types, streaming, normalization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providers/          # anthropic/, openai/, openaicompat/, (gemini/, bedrock/, vertex/)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harness/            # copilot/, (codex/, claudecode/)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tools/              # descriptors, registry, executor client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sandbox/            # linux_bwrap/, darwin_seatbelt/, oci/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proxy/              # egress proxy, allowlists, credential injection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secrets/            # keychain backends, redaction, scanning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worktree/           # git worktree lifecycle, hook neutralization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store/              # SQLite schema, events, artifacts, hash chain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evals/              # suite runner and graders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agents/               # built-in agent packages (planner, coder, verifier, security-reviewer, integrator)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schemas/              # JSON Schemas: manifest, workflow, events, artifacts, runtime API, policy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apps/desktop/         # Tauri 2 + React</w:t>
      </w:r>
    </w:p>
    <w:p>
      <w:pPr>
        <w:keepLines/>
        <w:pBdr>
          <w:bottom w:val="single" w:color="D0D5DB" w:sz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docs/                 # this documentation set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Import rules enforced by a lint step: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providers/*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harness/*</w:t>
      </w:r>
      <w:r>
        <w:rPr>
          <w:rFonts w:ascii="Calibri" w:cs="Calibri" w:eastAsia="Calibri" w:hAnsi="Calibri"/>
        </w:rPr>
        <w:t xml:space="preserve"> may import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model/</w:t>
      </w:r>
      <w:r>
        <w:rPr>
          <w:rFonts w:ascii="Calibri" w:cs="Calibri" w:eastAsia="Calibri" w:hAnsi="Calibri"/>
        </w:rPr>
        <w:t xml:space="preserve"> only;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tools/</w:t>
      </w:r>
      <w:r>
        <w:rPr>
          <w:rFonts w:ascii="Calibri" w:cs="Calibri" w:eastAsia="Calibri" w:hAnsi="Calibri"/>
        </w:rPr>
        <w:t xml:space="preserve"> may not import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providers/</w:t>
      </w:r>
      <w:r>
        <w:rPr>
          <w:rFonts w:ascii="Calibri" w:cs="Calibri" w:eastAsia="Calibri" w:hAnsi="Calibri"/>
        </w:rPr>
        <w:t xml:space="preserve">;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apps/desktop</w:t>
      </w:r>
      <w:r>
        <w:rPr>
          <w:rFonts w:ascii="Calibri" w:cs="Calibri" w:eastAsia="Calibri" w:hAnsi="Calibri"/>
        </w:rPr>
        <w:t xml:space="preserve"> has no Go and calls only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api/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spacing w:after="120" w:before="360"/>
      </w:pPr>
      <w:r>
        <w:t xml:space="preserve">10. Context and memory architecture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7"/>
        <w:gridCol w:w="4978"/>
        <w:gridCol w:w="1355"/>
      </w:tblGrid>
      <w:tr>
        <w:trPr>
          <w:cantSplit/>
          <w:tblHeader/>
        </w:trPr>
        <w:tc>
          <w:tcPr>
            <w:tcW w:type="dxa" w:w="26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9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35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Lifetime</w:t>
            </w:r>
          </w:p>
        </w:tc>
      </w:tr>
      <w:tr>
        <w:trPr>
          <w:cantSplit/>
          <w:tblHeader w:val="false"/>
        </w:trPr>
        <w:tc>
          <w:tcPr>
            <w:tcW w:type="dxa" w:w="26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 context</w:t>
            </w:r>
          </w:p>
        </w:tc>
        <w:tc>
          <w:tcPr>
            <w:tcW w:type="dxa" w:w="49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request, selected repository summary</w:t>
            </w:r>
          </w:p>
        </w:tc>
        <w:tc>
          <w:tcPr>
            <w:tcW w:type="dxa" w:w="135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</w:t>
            </w:r>
          </w:p>
        </w:tc>
      </w:tr>
      <w:tr>
        <w:trPr>
          <w:cantSplit/>
          <w:tblHeader w:val="false"/>
        </w:trPr>
        <w:tc>
          <w:tcPr>
            <w:tcW w:type="dxa" w:w="26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 context</w:t>
            </w:r>
          </w:p>
        </w:tc>
        <w:tc>
          <w:tcPr>
            <w:tcW w:type="dxa" w:w="49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Inputs, artifact summaries, tool results (tagged)</w:t>
            </w:r>
          </w:p>
        </w:tc>
        <w:tc>
          <w:tcPr>
            <w:tcW w:type="dxa" w:w="135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</w:t>
            </w:r>
          </w:p>
        </w:tc>
      </w:tr>
      <w:tr>
        <w:trPr>
          <w:cantSplit/>
          <w:tblHeader w:val="false"/>
        </w:trPr>
        <w:tc>
          <w:tcPr>
            <w:tcW w:type="dxa" w:w="26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 context</w:t>
            </w:r>
          </w:p>
        </w:tc>
        <w:tc>
          <w:tcPr>
            <w:tcW w:type="dxa" w:w="49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Compacted transcript, plan, decisions</w:t>
            </w:r>
          </w:p>
        </w:tc>
        <w:tc>
          <w:tcPr>
            <w:tcW w:type="dxa" w:w="135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</w:t>
            </w:r>
          </w:p>
        </w:tc>
      </w:tr>
      <w:tr>
        <w:trPr>
          <w:cantSplit/>
          <w:tblHeader w:val="false"/>
        </w:trPr>
        <w:tc>
          <w:tcPr>
            <w:tcW w:type="dxa" w:w="26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Workspace knowledge (Phase 2)</w:t>
            </w:r>
          </w:p>
        </w:tc>
        <w:tc>
          <w:tcPr>
            <w:tcW w:type="dxa" w:w="49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Conventions, architecture notes produced by the explorer</w:t>
            </w:r>
          </w:p>
        </w:tc>
        <w:tc>
          <w:tcPr>
            <w:tcW w:type="dxa" w:w="135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Workspace</w:t>
            </w:r>
          </w:p>
        </w:tc>
      </w:tr>
      <w:tr>
        <w:trPr>
          <w:cantSplit/>
          <w:tblHeader w:val="false"/>
        </w:trPr>
        <w:tc>
          <w:tcPr>
            <w:tcW w:type="dxa" w:w="26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Enterprise knowledge (Phase 4)</w:t>
            </w:r>
          </w:p>
        </w:tc>
        <w:tc>
          <w:tcPr>
            <w:tcW w:type="dxa" w:w="49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Retrieval over approved sources with classification</w:t>
            </w:r>
          </w:p>
        </w:tc>
        <w:tc>
          <w:tcPr>
            <w:tcW w:type="dxa" w:w="135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Organization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Redaction applies before any content enters a model request: secret patterns (keys, tokens, private keys, connection strings) are replaced by placeholders and a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redaction</w:t>
      </w:r>
      <w:r>
        <w:rPr>
          <w:rFonts w:ascii="Calibri" w:cs="Calibri" w:eastAsia="Calibri" w:hAnsi="Calibri"/>
        </w:rPr>
        <w:t xml:space="preserve"> event records counts, never values.</w:t>
      </w:r>
    </w:p>
    <w:p>
      <w:pPr>
        <w:pStyle w:val="Heading1"/>
        <w:spacing w:after="120" w:before="360"/>
      </w:pPr>
      <w:r>
        <w:t xml:space="preserve">11. Failure domains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7"/>
        <w:gridCol w:w="7213"/>
      </w:tblGrid>
      <w:tr>
        <w:trPr>
          <w:cantSplit/>
          <w:tblHeader/>
        </w:trPr>
        <w:tc>
          <w:tcPr>
            <w:tcW w:type="dxa" w:w="178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Failure</w:t>
            </w:r>
          </w:p>
        </w:tc>
        <w:tc>
          <w:tcPr>
            <w:tcW w:type="dxa" w:w="721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rPr>
          <w:cantSplit/>
          <w:tblHeader w:val="false"/>
        </w:trPr>
        <w:tc>
          <w:tcPr>
            <w:tcW w:type="dxa" w:w="178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Daemon crash</w:t>
            </w:r>
          </w:p>
        </w:tc>
        <w:tc>
          <w:tcPr>
            <w:tcW w:type="dxa" w:w="721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Clients reconnect; sessions resume from SQLite; running tasks become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failed(interrupted)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can be retried</w:t>
            </w:r>
          </w:p>
        </w:tc>
      </w:tr>
      <w:tr>
        <w:trPr>
          <w:cantSplit/>
          <w:tblHeader w:val="false"/>
        </w:trPr>
        <w:tc>
          <w:tcPr>
            <w:tcW w:type="dxa" w:w="178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Sandbox backend unavailable</w:t>
            </w:r>
          </w:p>
        </w:tc>
        <w:tc>
          <w:tcPr>
            <w:tcW w:type="dxa" w:w="721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Tasks cannot start; UI explains prerequisites; no fallback to unsandboxed execution</w:t>
            </w:r>
          </w:p>
        </w:tc>
      </w:tr>
      <w:tr>
        <w:trPr>
          <w:cantSplit/>
          <w:tblHeader w:val="false"/>
        </w:trPr>
        <w:tc>
          <w:tcPr>
            <w:tcW w:type="dxa" w:w="178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Provider outage</w:t>
            </w:r>
          </w:p>
        </w:tc>
        <w:tc>
          <w:tcPr>
            <w:tcW w:type="dxa" w:w="721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Router fallback within tier; otherwise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waiting_for_input</w:t>
            </w:r>
          </w:p>
        </w:tc>
      </w:tr>
      <w:tr>
        <w:trPr>
          <w:cantSplit/>
          <w:tblHeader w:val="false"/>
        </w:trPr>
        <w:tc>
          <w:tcPr>
            <w:tcW w:type="dxa" w:w="178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Disk full</w:t>
            </w:r>
          </w:p>
        </w:tc>
        <w:tc>
          <w:tcPr>
            <w:tcW w:type="dxa" w:w="721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Event writes fail closed: the task pauses rather than continuing without audit</w:t>
            </w:r>
          </w:p>
        </w:tc>
      </w:tr>
      <w:tr>
        <w:trPr>
          <w:cantSplit/>
          <w:tblHeader w:val="false"/>
        </w:trPr>
        <w:tc>
          <w:tcPr>
            <w:tcW w:type="dxa" w:w="178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Keychain locked</w:t>
            </w:r>
          </w:p>
        </w:tc>
        <w:tc>
          <w:tcPr>
            <w:tcW w:type="dxa" w:w="721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Provider calls fail with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auth_failed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user prompted to unlock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Enterprise AI Agent Runtime Platform (working codename: Warden) — v0.5 — September 25, 2026 —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FD6" w:sz="4"/>
      </w:pBdr>
    </w:pPr>
    <w:r>
      <w:rPr>
        <w:rFonts w:ascii="Calibri" w:cs="Calibri" w:eastAsia="Calibri" w:hAnsi="Calibri"/>
        <w:color w:val="777777"/>
        <w:sz w:val="16"/>
        <w:szCs w:val="16"/>
      </w:rPr>
      <w:t xml:space="preserve">WRD-02  ·  System Architecture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  <w:lvl w:ilvl="2" w15:tentative="1">
      <w:start w:val="1"/>
      <w:numFmt w:val="bullet"/>
      <w:lvlText w:val="·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E5077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/>
      <w:iCs/>
      <w:color w:val="2E507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08382671a3b6ca3050f3cf2d7b7bdbe0a45aeac.png"/><Relationship Id="rId10" Type="http://schemas.openxmlformats.org/officeDocument/2006/relationships/image" Target="media/732ac5f0039951d45566586bd5ee90626927877d.png"/><Relationship Id="rId11" Type="http://schemas.openxmlformats.org/officeDocument/2006/relationships/image" Target="media/8b34fa1e49fdfc79732841c725a635d8c62719f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Architecture Specification</dc:title>
  <dc:creator>Product &amp; Architecture</dc:creator>
  <dc:description>Components, process topology, trust boundaries, control and execution planes, runtime API, data flow, repository structure</dc:description>
  <cp:lastModifiedBy>Un-named</cp:lastModifiedBy>
  <cp:revision>1</cp:revision>
  <dcterms:created xsi:type="dcterms:W3CDTF">2026-09-25T19:53:59.064Z</dcterms:created>
  <dcterms:modified xsi:type="dcterms:W3CDTF">2026-09-25T19:53:59.065Z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