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Model Routing Policy Specification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Data classifications, provider trust tiers, routing inputs and strategies, fallback rules, health and quotas, routing policy syntax, auditability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WRD-06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/ Security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teams, security, engineers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router answers one question for every model call: </w:t>
      </w:r>
      <w:r>
        <w:rPr>
          <w:rFonts w:ascii="Calibri" w:cs="Calibri" w:eastAsia="Calibri" w:hAnsi="Calibri"/>
          <w:b/>
          <w:bCs/>
        </w:rPr>
        <w:t xml:space="preserve">which provider and model may and should handle this request</w:t>
      </w:r>
      <w:r>
        <w:rPr>
          <w:rFonts w:ascii="Calibri" w:cs="Calibri" w:eastAsia="Calibri" w:hAnsi="Calibri"/>
        </w:rPr>
        <w:t xml:space="preserve">. "May" is a security decision derived from data classification and provider trust; "should" is an optimization derived from capabilities, quality, cost, latency and availability. The router never trades the first for the second.</w:t>
      </w:r>
    </w:p>
    <w:p>
      <w:pPr>
        <w:pStyle w:val="Heading1"/>
        <w:spacing w:after="120" w:before="360"/>
      </w:pPr>
      <w:r>
        <w:t xml:space="preserve">2. Data classifications (D-17)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4028"/>
        <w:gridCol w:w="3662"/>
      </w:tblGrid>
      <w:tr>
        <w:trPr>
          <w:cantSplit/>
          <w:tblHeader/>
        </w:trPr>
        <w:tc>
          <w:tcPr>
            <w:tcW w:type="dxa" w:w="13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content</w:t>
            </w:r>
          </w:p>
        </w:tc>
        <w:tc>
          <w:tcPr>
            <w:tcW w:type="dxa" w:w="3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assignment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public</w:t>
            </w:r>
          </w:p>
        </w:tc>
        <w:tc>
          <w:tcPr>
            <w:tcW w:type="dxa" w:w="40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code, public documentation</w:t>
            </w:r>
          </w:p>
        </w:tc>
        <w:tc>
          <w:tcPr>
            <w:tcW w:type="dxa" w:w="3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only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internal</w:t>
            </w:r>
          </w:p>
        </w:tc>
        <w:tc>
          <w:tcPr>
            <w:tcW w:type="dxa" w:w="40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Non-sensitive internal code and documents</w:t>
            </w:r>
          </w:p>
        </w:tc>
        <w:tc>
          <w:tcPr>
            <w:tcW w:type="dxa" w:w="3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 only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confidential</w:t>
            </w:r>
          </w:p>
        </w:tc>
        <w:tc>
          <w:tcPr>
            <w:tcW w:type="dxa" w:w="40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Proprietary source code, customer-facing systems, internal designs</w:t>
            </w:r>
          </w:p>
        </w:tc>
        <w:tc>
          <w:tcPr>
            <w:tcW w:type="dxa" w:w="3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for every repository</w:t>
            </w:r>
          </w:p>
        </w:tc>
      </w:tr>
      <w:tr>
        <w:trPr>
          <w:cantSplit/>
          <w:tblHeader w:val="false"/>
        </w:trPr>
        <w:tc>
          <w:tcPr>
            <w:tcW w:type="dxa" w:w="131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restricted</w:t>
            </w:r>
          </w:p>
        </w:tc>
        <w:tc>
          <w:tcPr>
            <w:tcW w:type="dxa" w:w="402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Secrets-adjacent code, regulated data handling, security-sensitive components</w:t>
            </w:r>
          </w:p>
        </w:tc>
        <w:tc>
          <w:tcPr>
            <w:tcW w:type="dxa" w:w="366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Explicit; path overrides supported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paths: ["services/payments/**"]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Classification is a property of the workspace with optional path overrides; a task's classification is the maximum over the paths it reads. Reading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restricted</w:t>
      </w:r>
      <w:r>
        <w:rPr>
          <w:rFonts w:ascii="Calibri" w:cs="Calibri" w:eastAsia="Calibri" w:hAnsi="Calibri"/>
        </w:rPr>
        <w:t xml:space="preserve"> path mid-task raises the task's classification and may force a re-route or a stop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waiting_for_input</w:t>
      </w:r>
      <w:r>
        <w:rPr>
          <w:rFonts w:ascii="Calibri" w:cs="Calibri" w:eastAsia="Calibri" w:hAnsi="Calibri"/>
        </w:rPr>
        <w:t xml:space="preserve">) if the current provider is no longer allowed.</w:t>
      </w:r>
    </w:p>
    <w:p>
      <w:pPr>
        <w:pStyle w:val="Heading1"/>
        <w:spacing w:after="120" w:before="360"/>
      </w:pPr>
      <w:r>
        <w:t xml:space="preserve">3. Provider trust tiers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"/>
        <w:gridCol w:w="3590"/>
        <w:gridCol w:w="4143"/>
      </w:tblGrid>
      <w:tr>
        <w:trPr>
          <w:cantSplit/>
          <w:tblHeader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on the local machine, loopback only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Ollama, llama.cpp, LM Studio</w:t>
            </w:r>
          </w:p>
        </w:tc>
      </w:tr>
      <w:tr>
        <w:trPr>
          <w:cantSplit/>
          <w:tblHeader w:val="false"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Operated by the organization on its own network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vLLM in the data center, internal gateway to internal models</w:t>
            </w:r>
          </w:p>
        </w:tc>
      </w:tr>
      <w:tr>
        <w:trPr>
          <w:cantSplit/>
          <w:tblHeader w:val="false"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cloud under the organization's agreements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Azure OpenAI / Foundry, Bedrock, Vertex AI</w:t>
            </w:r>
          </w:p>
        </w:tc>
      </w:tr>
      <w:tr>
        <w:trPr>
          <w:cantSplit/>
          <w:tblHeader w:val="false"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SaaS API with API key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Anthropic, OpenAI, Google, Mistral direct</w:t>
            </w:r>
          </w:p>
        </w:tc>
      </w:tr>
      <w:tr>
        <w:trPr>
          <w:cantSplit/>
          <w:tblHeader w:val="false"/>
        </w:trPr>
        <w:tc>
          <w:tcPr>
            <w:tcW w:type="dxa" w:w="126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tcPr>
            <w:tcW w:type="dxa" w:w="359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Consumer subscription harness</w:t>
            </w:r>
          </w:p>
        </w:tc>
        <w:tc>
          <w:tcPr>
            <w:tcW w:type="dxa" w:w="414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Copilot SDK, Codex with ChatGPT plan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provider's tier is declared in the catalog and may be raised by policy (never lowered by a workspace).</w:t>
      </w:r>
    </w:p>
    <w:p>
      <w:pPr>
        <w:pStyle w:val="Heading1"/>
        <w:spacing w:after="120" w:before="360"/>
      </w:pPr>
      <w:r>
        <w:t xml:space="preserve">4. Default admission matrix (D-18)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1308"/>
        <w:gridCol w:w="6384"/>
      </w:tblGrid>
      <w:tr>
        <w:trPr>
          <w:cantSplit/>
          <w:tblHeader/>
        </w:trPr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tiers by default</w:t>
            </w:r>
          </w:p>
        </w:tc>
        <w:tc>
          <w:tcPr>
            <w:tcW w:type="dxa" w:w="6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restricted</w:t>
            </w:r>
          </w:p>
        </w:tc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T0, T1</w:t>
            </w:r>
          </w:p>
        </w:tc>
        <w:tc>
          <w:tcPr>
            <w:tcW w:type="dxa" w:w="6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 only when policy explicitly lists the provider</w:t>
            </w:r>
          </w:p>
        </w:tc>
      </w:tr>
      <w:tr>
        <w:trPr>
          <w:cantSplit/>
          <w:tblHeader w:val="false"/>
        </w:trPr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confidential</w:t>
            </w:r>
          </w:p>
        </w:tc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T0, T1, T2</w:t>
            </w:r>
          </w:p>
        </w:tc>
        <w:tc>
          <w:tcPr>
            <w:tcW w:type="dxa" w:w="6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 when the provider entry carries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data_agreement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(for example zero-retention terms) and org policy allows; T4 never</w:t>
            </w:r>
          </w:p>
        </w:tc>
      </w:tr>
      <w:tr>
        <w:trPr>
          <w:cantSplit/>
          <w:tblHeader w:val="false"/>
        </w:trPr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internal</w:t>
            </w:r>
          </w:p>
        </w:tc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T0–T3</w:t>
            </w:r>
          </w:p>
        </w:tc>
        <w:tc>
          <w:tcPr>
            <w:tcW w:type="dxa" w:w="6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 only for harnesses marked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permitted</w:t>
            </w:r>
          </w:p>
        </w:tc>
      </w:tr>
      <w:tr>
        <w:trPr>
          <w:cantSplit/>
          <w:tblHeader w:val="false"/>
        </w:trPr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public</w:t>
            </w:r>
          </w:p>
        </w:tc>
        <w:tc>
          <w:tcPr>
            <w:tcW w:type="dxa" w:w="13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T0–T4</w:t>
            </w:r>
          </w:p>
        </w:tc>
        <w:tc>
          <w:tcPr>
            <w:tcW w:type="dxa" w:w="638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matrix is a policy artifact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routing.admission</w:t>
      </w:r>
      <w:r>
        <w:rPr>
          <w:rFonts w:ascii="Calibri" w:cs="Calibri" w:eastAsia="Calibri" w:hAnsi="Calibri"/>
        </w:rPr>
        <w:t xml:space="preserve">) and can be tightened by organization or user policy. Workspace policy may only remove tiers.</w:t>
      </w:r>
    </w:p>
    <w:p>
      <w:pPr>
        <w:pStyle w:val="Heading1"/>
        <w:spacing w:after="120" w:before="360"/>
      </w:pPr>
      <w:r>
        <w:t xml:space="preserve">5. Routing inputs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7108"/>
      </w:tblGrid>
      <w:tr>
        <w:trPr>
          <w:cantSplit/>
          <w:tblHeader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class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 role and workflow task type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plan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implement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verify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review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summarize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plus paths read so far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capabilities and minimum context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spec.model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Allow/deny lists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Manifest, org policy, user preferences, session pin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Strategy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quality-first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cost-first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latency-first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prefer-internal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(workspace default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prefer-internal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when a T0/T1 provider exists, else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quality-first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Budgets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max_cost_usd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session and daily budgets from policy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Circuit-breaker state, rate-limit window, recent error rate, p50 latency</w:t>
            </w:r>
          </w:p>
        </w:tc>
      </w:tr>
      <w:tr>
        <w:trPr>
          <w:cantSplit/>
          <w:tblHeader w:val="false"/>
        </w:trPr>
        <w:tc>
          <w:tcPr>
            <w:tcW w:type="dxa" w:w="1892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priors</w:t>
            </w:r>
          </w:p>
        </w:tc>
        <w:tc>
          <w:tcPr>
            <w:tcW w:type="dxa" w:w="710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Evaluation results per task class and model (WRD-12), used as a ranking signal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6. Algorithm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Routing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Admission</w:t>
      </w:r>
      <w:r>
        <w:rPr>
          <w:rFonts w:ascii="Calibri" w:cs="Calibri" w:eastAsia="Calibri" w:hAnsi="Calibri"/>
        </w:rPr>
        <w:t xml:space="preserve">: candidates = models whose provider tier is admitted for the task's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Filter</w:t>
      </w:r>
      <w:r>
        <w:rPr>
          <w:rFonts w:ascii="Calibri" w:cs="Calibri" w:eastAsia="Calibri" w:hAnsi="Calibri"/>
        </w:rPr>
        <w:t xml:space="preserve">: apply allow/deny lists; require capabilities and context size; exclude models over budget for the estimated request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Rank</w:t>
      </w:r>
      <w:r>
        <w:rPr>
          <w:rFonts w:ascii="Calibri" w:cs="Calibri" w:eastAsia="Calibri" w:hAnsi="Calibri"/>
        </w:rPr>
        <w:t xml:space="preserve"> per strategy: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quality-first</w:t>
      </w:r>
      <w:r>
        <w:rPr>
          <w:rFonts w:ascii="Calibri" w:cs="Calibri" w:eastAsia="Calibri" w:hAnsi="Calibri"/>
        </w:rPr>
        <w:t xml:space="preserve"> sorts by quality prior then cost;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cost-first</w:t>
      </w:r>
      <w:r>
        <w:rPr>
          <w:rFonts w:ascii="Calibri" w:cs="Calibri" w:eastAsia="Calibri" w:hAnsi="Calibri"/>
        </w:rPr>
        <w:t xml:space="preserve"> sorts by cost then quality prior with a minimum quality threshold;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latency-first</w:t>
      </w:r>
      <w:r>
        <w:rPr>
          <w:rFonts w:ascii="Calibri" w:cs="Calibri" w:eastAsia="Calibri" w:hAnsi="Calibri"/>
        </w:rPr>
        <w:t xml:space="preserve"> by p50;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prefer-internal</w:t>
      </w:r>
      <w:r>
        <w:rPr>
          <w:rFonts w:ascii="Calibri" w:cs="Calibri" w:eastAsia="Calibri" w:hAnsi="Calibri"/>
        </w:rPr>
        <w:t xml:space="preserve"> prefers T0/T1 that meet a quality threshold, then the rest by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Health</w:t>
      </w:r>
      <w:r>
        <w:rPr>
          <w:rFonts w:ascii="Calibri" w:cs="Calibri" w:eastAsia="Calibri" w:hAnsi="Calibri"/>
        </w:rPr>
        <w:t xml:space="preserve">: skip candidates whose circuit is open; a half-open circuit admits one probe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Select</w:t>
      </w:r>
      <w:r>
        <w:rPr>
          <w:rFonts w:ascii="Calibri" w:cs="Calibri" w:eastAsia="Calibri" w:hAnsi="Calibri"/>
        </w:rPr>
        <w:t xml:space="preserve"> the first healthy candidate; emit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routing_decision</w:t>
      </w:r>
      <w:r>
        <w:rPr>
          <w:rFonts w:ascii="Calibri" w:cs="Calibri" w:eastAsia="Calibri" w:hAnsi="Calibri"/>
        </w:rPr>
        <w:t xml:space="preserve"> with all candidates and the reason each was rejected or ranked.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candidate</w:t>
      </w:r>
      <w:r>
        <w:rPr>
          <w:rFonts w:ascii="Calibri" w:cs="Calibri" w:eastAsia="Calibri" w:hAnsi="Calibri"/>
        </w:rPr>
        <w:t xml:space="preserve">: the task enters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waiting_for_input</w:t>
      </w:r>
      <w:r>
        <w:rPr>
          <w:rFonts w:ascii="Calibri" w:cs="Calibri" w:eastAsia="Calibri" w:hAnsi="Calibri"/>
        </w:rPr>
        <w:t xml:space="preserve"> with a message explaining which constraint eliminated everything (for example "confidential data; no T0–T2 provider configured"), offering to configure a provider or to lower the strategy's quality threshold if policy permits. The router never selects an inadmissible provider.</w:t>
      </w:r>
    </w:p>
    <w:p>
      <w:pPr>
        <w:pStyle w:val="Heading1"/>
        <w:spacing w:after="120" w:before="360"/>
      </w:pPr>
      <w:r>
        <w:t xml:space="preserve">7. Fallback rules (D-19)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Fallback triggers: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provider_unavailable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rate_limited</w:t>
      </w:r>
      <w:r>
        <w:rPr>
          <w:rFonts w:ascii="Calibri" w:cs="Calibri" w:eastAsia="Calibri" w:hAnsi="Calibri"/>
        </w:rPr>
        <w:t xml:space="preserve"> beyond the retry budget,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timeout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model_not_found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Fallback candidates are the remaining ranked list, restricted to </w:t>
      </w:r>
      <w:r>
        <w:rPr>
          <w:rFonts w:ascii="Calibri" w:cs="Calibri" w:eastAsia="Calibri" w:hAnsi="Calibri"/>
          <w:b/>
          <w:bCs/>
        </w:rPr>
        <w:t xml:space="preserve">the same or lower tier</w:t>
      </w:r>
      <w:r>
        <w:rPr>
          <w:rFonts w:ascii="Calibri" w:cs="Calibri" w:eastAsia="Calibri" w:hAnsi="Calibri"/>
        </w:rPr>
        <w:t xml:space="preserve"> than the failed candidate's admitted maximum; the admission matrix is re-applied, never relaxed.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Mid-task fallback keeps the transcript; opaque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reasoning</w:t>
      </w:r>
      <w:r>
        <w:rPr>
          <w:rFonts w:ascii="Calibri" w:cs="Calibri" w:eastAsia="Calibri" w:hAnsi="Calibri"/>
        </w:rPr>
        <w:t xml:space="preserve"> blocks from the previous provider are dropped, and a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context.note</w:t>
      </w:r>
      <w:r>
        <w:rPr>
          <w:rFonts w:ascii="Calibri" w:cs="Calibri" w:eastAsia="Calibri" w:hAnsi="Calibri"/>
        </w:rPr>
        <w:t xml:space="preserve"> tells the model that the conversation continues on a different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Each fallback emits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routing_fallback</w:t>
      </w:r>
      <w:r>
        <w:rPr>
          <w:rFonts w:ascii="Calibri" w:cs="Calibri" w:eastAsia="Calibri" w:hAnsi="Calibri"/>
        </w:rPr>
        <w:t xml:space="preserve"> with the cause; three fallbacks in one task stop the task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waiting_for_input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Retries before fallback: up to 3 for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rate_limited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provider_unavailable</w:t>
      </w:r>
      <w:r>
        <w:rPr>
          <w:rFonts w:ascii="Calibri" w:cs="Calibri" w:eastAsia="Calibri" w:hAnsi="Calibri"/>
        </w:rPr>
        <w:t xml:space="preserve"> with exponential backoff and jitter, honoring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retry_after_ms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20" w:before="360"/>
      </w:pPr>
      <w:r>
        <w:t xml:space="preserve">8. Health, quotas, budgets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Circuit breaker per provider: opens after 5 consecutive failures or an error rate above 50% over 60 s; half-open after 30 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Rate-limit windows are learned from provider headers where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Budgets: task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max_cost_usd</w:t>
      </w:r>
      <w:r>
        <w:rPr>
          <w:rFonts w:ascii="Calibri" w:cs="Calibri" w:eastAsia="Calibri" w:hAnsi="Calibri"/>
        </w:rPr>
        <w:t xml:space="preserve">), session (policy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budgets.session_usd</w:t>
      </w:r>
      <w:r>
        <w:rPr>
          <w:rFonts w:ascii="Calibri" w:cs="Calibri" w:eastAsia="Calibri" w:hAnsi="Calibri"/>
        </w:rPr>
        <w:t xml:space="preserve">), daily per user (policy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budgets.daily_usd</w:t>
      </w:r>
      <w:r>
        <w:rPr>
          <w:rFonts w:ascii="Calibri" w:cs="Calibri" w:eastAsia="Calibri" w:hAnsi="Calibri"/>
        </w:rPr>
        <w:t xml:space="preserve">), and quota units for harnesses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budgets.daily_premium_requests</w:t>
      </w:r>
      <w:r>
        <w:rPr>
          <w:rFonts w:ascii="Calibri" w:cs="Calibri" w:eastAsia="Calibri" w:hAnsi="Calibri"/>
        </w:rPr>
        <w:t xml:space="preserve">). Exceeding a budget yields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failed(budget)</w:t>
      </w:r>
      <w:r>
        <w:rPr>
          <w:rFonts w:ascii="Calibri" w:cs="Calibri" w:eastAsia="Calibri" w:hAnsi="Calibri"/>
        </w:rPr>
        <w:t xml:space="preserve"> for the task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waiting_for_input</w:t>
      </w:r>
      <w:r>
        <w:rPr>
          <w:rFonts w:ascii="Calibri" w:cs="Calibri" w:eastAsia="Calibri" w:hAnsi="Calibri"/>
        </w:rPr>
        <w:t xml:space="preserve"> for the session.</w:t>
      </w:r>
    </w:p>
    <w:p>
      <w:pPr>
        <w:pStyle w:val="Heading1"/>
        <w:spacing w:after="120" w:before="360"/>
      </w:pPr>
      <w:r>
        <w:t xml:space="preserve">9. Routing policy syntax</w:t>
      </w:r>
    </w:p>
    <w:p>
      <w:pPr>
        <w:spacing w:after="120"/>
      </w:pPr>
      <w:r>
        <w:rPr>
          <w:rFonts w:ascii="Calibri" w:cs="Calibri" w:eastAsia="Calibri" w:hAnsi="Calibri"/>
        </w:rPr>
        <w:t xml:space="preserve">Routing policy is part of the policy bundle (WRD-08) under the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routing</w:t>
      </w:r>
      <w:r>
        <w:rPr>
          <w:rFonts w:ascii="Calibri" w:cs="Calibri" w:eastAsia="Calibri" w:hAnsi="Calibri"/>
        </w:rPr>
        <w:t xml:space="preserve"> key.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routing: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admission: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restricted:   [T0, T1]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confidential: [T0, T1, T2]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internal:     [T0, T1, T2, T3]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public:       [T0, T1, T2, T3, T4]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exceptions: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- when: 'provider.id == "anthropic" &amp;&amp; provider.data_agreement.zero_retention'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admit: { confidential: [T3]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strategy: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default: prefer-internal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by_task_class: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plan: quality-first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implement: quality-first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verify: cost-first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summarize: cost-first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quality_threshold: 0.6           # minimum eval success prior to be considered under prefer-internal/cost-first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pins: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allow_user_pin: true              # user may pin a model within admission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budgets: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session_usd: 25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daily_usd: 100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daily_premium_requests: 300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deny_models: ["*/preview-*"]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Conditions use CEL over the routing input object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task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workspace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provider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model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user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1"/>
        <w:spacing w:after="120" w:before="360"/>
      </w:pPr>
      <w:r>
        <w:t xml:space="preserve">10. Worked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5463"/>
      </w:tblGrid>
      <w:tr>
        <w:trPr>
          <w:cantSplit/>
          <w:tblHeader/>
        </w:trPr>
        <w:tc>
          <w:tcPr>
            <w:tcW w:type="dxa" w:w="353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46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tcW w:type="dxa" w:w="353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review on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confidential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repository; providers: Ollama (T0), Anthropic with zero-retention agreement (T3), OpenAI without agreement (T3)</w:t>
            </w:r>
          </w:p>
        </w:tc>
        <w:tc>
          <w:tcPr>
            <w:tcW w:type="dxa" w:w="546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Candidates: Ollama, Anthropic (exception). Strategy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prefer-internal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Ollama chosen if its 32B coder model meets the quality threshold for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review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otherwise Anthropic. OpenAI rejected: "confidential data; no data agreement".</w:t>
            </w:r>
          </w:p>
        </w:tc>
      </w:tr>
      <w:tr>
        <w:trPr>
          <w:cantSplit/>
          <w:tblHeader w:val="false"/>
        </w:trPr>
        <w:tc>
          <w:tcPr>
            <w:tcW w:type="dxa" w:w="353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 task on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public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repository, user pinned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openai/gpt-x</w:t>
            </w:r>
          </w:p>
        </w:tc>
        <w:tc>
          <w:tcPr>
            <w:tcW w:type="dxa" w:w="546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 honored (admitted). Fallback list excludes T4 unless a permitted harness is configured.</w:t>
            </w:r>
          </w:p>
        </w:tc>
      </w:tr>
      <w:tr>
        <w:trPr>
          <w:cantSplit/>
          <w:tblHeader w:val="false"/>
        </w:trPr>
        <w:tc>
          <w:tcPr>
            <w:tcW w:type="dxa" w:w="353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returns 529 repeatedly during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restricted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task</w:t>
            </w:r>
          </w:p>
        </w:tc>
        <w:tc>
          <w:tcPr>
            <w:tcW w:type="dxa" w:w="546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fallback beyond T1; if only T0/T1 candidates exist and none qualifies, the task waits for input with the explanation.</w:t>
            </w:r>
          </w:p>
        </w:tc>
      </w:tr>
      <w:tr>
        <w:trPr>
          <w:cantSplit/>
          <w:tblHeader w:val="false"/>
        </w:trPr>
        <w:tc>
          <w:tcPr>
            <w:tcW w:type="dxa" w:w="3537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reads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services/payments/**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(restricted override) while running on a T2 provider</w:t>
            </w:r>
          </w:p>
        </w:tc>
        <w:tc>
          <w:tcPr>
            <w:tcW w:type="dxa" w:w="546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task's classification rises; the router re-evaluates: T2 is not admitted for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restricted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the task pauses (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waiting_for_input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with options to continue on a T0/T1 model or to exclude the path.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11. Audit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routing_decision</w:t>
      </w:r>
      <w:r>
        <w:rPr>
          <w:rFonts w:ascii="Calibri" w:cs="Calibri" w:eastAsia="Calibri" w:hAnsi="Calibri"/>
        </w:rPr>
        <w:t xml:space="preserve"> event payload: task class, classification, strategy, candidates with per-candidate status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admitted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rejected:&lt;reason&gt;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unhealthy</w:t>
      </w:r>
      <w:r>
        <w:rPr>
          <w:rFonts w:ascii="Calibri" w:cs="Calibri" w:eastAsia="Calibri" w:hAnsi="Calibri"/>
        </w:rPr>
        <w:t xml:space="preserve">), chosen model, estimated cost, quality prior, budget remaining. The UI shows a one-line explanation ("Chosen: local/qwen-coder-32b (prefer-internal; confidential data; 2 candidates)") with a details view.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WRD-06  ·  Model Routing Policy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8d3de9498cc5da9d22f1ebf112ae5d5f4406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Routing Policy Specification</dc:title>
  <dc:creator>Product &amp; Architecture</dc:creator>
  <dc:description>Data classifications, provider trust tiers, routing inputs and strategies, fallback rules, health and quotas, routing policy syntax, auditability</dc:description>
  <cp:lastModifiedBy>Un-named</cp:lastModifiedBy>
  <cp:revision>1</cp:revision>
  <dcterms:created xsi:type="dcterms:W3CDTF">2026-09-25T19:54:00.437Z</dcterms:created>
  <dcterms:modified xsi:type="dcterms:W3CDTF">2026-09-25T19:54:00.438Z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