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Agent SDK Specification</w:t>
      </w:r>
    </w:p>
    <w:p>
      <w:pPr>
        <w:spacing w:after="1200"/>
      </w:pPr>
      <w:r>
        <w:rPr>
          <w:rFonts w:ascii="Calibri" w:cs="Calibri" w:eastAsia="Calibri" w:hAnsi="Calibri"/>
          <w:color w:val="333333"/>
          <w:sz w:val="28"/>
          <w:szCs w:val="28"/>
        </w:rPr>
        <w:t xml:space="preserve">Declarative agents first, the Agent Protocol for coded agents, SDK surface in TypeScript, Go and Python, packaging, testing, compatibility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WRD-14</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 (Phase 4 deliverable; contracts fixed now)</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Architecture</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Engineers, agent authors, partners</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Two ways to build an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91"/>
        <w:gridCol w:w="2049"/>
        <w:gridCol w:w="2327"/>
        <w:gridCol w:w="3333"/>
      </w:tblGrid>
      <w:tr>
        <w:trPr>
          <w:cantSplit/>
          <w:tblHeader/>
        </w:trPr>
        <w:tc>
          <w:tcPr>
            <w:tcW w:type="dxa" w:w="129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Kind</w:t>
            </w:r>
          </w:p>
        </w:tc>
        <w:tc>
          <w:tcPr>
            <w:tcW w:type="dxa" w:w="204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When</w:t>
            </w:r>
          </w:p>
        </w:tc>
        <w:tc>
          <w:tcPr>
            <w:tcW w:type="dxa" w:w="232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you write</w:t>
            </w:r>
          </w:p>
        </w:tc>
        <w:tc>
          <w:tcPr>
            <w:tcW w:type="dxa" w:w="333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Where it runs</w:t>
            </w:r>
          </w:p>
        </w:tc>
      </w:tr>
      <w:tr>
        <w:trPr>
          <w:cantSplit/>
          <w:tblHeader w:val="false"/>
        </w:trPr>
        <w:tc>
          <w:tcPr>
            <w:tcW w:type="dxa" w:w="129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Declarative (MVP)</w:t>
            </w:r>
          </w:p>
        </w:tc>
        <w:tc>
          <w:tcPr>
            <w:tcW w:type="dxa" w:w="20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Most agents</w:t>
            </w:r>
          </w:p>
        </w:tc>
        <w:tc>
          <w:tcPr>
            <w:tcW w:type="dxa" w:w="232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Manifest, prompts, schemas, evals</w:t>
            </w:r>
          </w:p>
        </w:tc>
        <w:tc>
          <w:tcPr>
            <w:tcW w:type="dxa" w:w="333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code; the runtime's agent loop executes it</w:t>
            </w:r>
          </w:p>
        </w:tc>
      </w:tr>
      <w:tr>
        <w:trPr>
          <w:cantSplit/>
          <w:tblHeader w:val="false"/>
        </w:trPr>
        <w:tc>
          <w:tcPr>
            <w:tcW w:type="dxa" w:w="129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Coded (Phase 4)</w:t>
            </w:r>
          </w:p>
        </w:tc>
        <w:tc>
          <w:tcPr>
            <w:tcW w:type="dxa" w:w="20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Deterministic logic, custom state machines, domain adapters</w:t>
            </w:r>
          </w:p>
        </w:tc>
        <w:tc>
          <w:tcPr>
            <w:tcW w:type="dxa" w:w="232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same package plus an implementation speaking the Agent Protocol</w:t>
            </w:r>
          </w:p>
        </w:tc>
        <w:tc>
          <w:tcPr>
            <w:tcW w:type="dxa" w:w="333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Inside the task sandbox</w:t>
            </w:r>
            <w:r>
              <w:rPr>
                <w:rFonts w:ascii="Calibri" w:cs="Calibri" w:eastAsia="Calibri" w:hAnsi="Calibri"/>
                <w:sz w:val="20"/>
                <w:szCs w:val="20"/>
              </w:rPr>
              <w:t xml:space="preserve">; the implementation calls back into the runtime for models and tools</w:t>
            </w:r>
          </w:p>
        </w:tc>
      </w:tr>
    </w:tbl>
    <w:p>
      <w:pPr>
        <w:spacing w:after="120"/>
      </w:pPr>
    </w:p>
    <w:p>
      <w:pPr>
        <w:spacing w:after="120"/>
      </w:pPr>
      <w:r>
        <w:rPr>
          <w:rFonts w:ascii="Calibri" w:cs="Calibri" w:eastAsia="Calibri" w:hAnsi="Calibri"/>
        </w:rPr>
        <w:t xml:space="preserve">The second answers the open question of the drafts ("where does agent code run?"): never inside the runtime process. A coded agent is just another sandboxed process; the runtime remains the Policy Decision Point and the only holder of credentials.</w:t>
      </w:r>
    </w:p>
    <w:p>
      <w:pPr>
        <w:pStyle w:val="Heading1"/>
        <w:spacing w:after="120" w:before="360"/>
      </w:pPr>
      <w:r>
        <w:t xml:space="preserve">2. Agent Protocol</w:t>
      </w:r>
    </w:p>
    <w:p>
      <w:pPr>
        <w:spacing w:after="120"/>
      </w:pPr>
      <w:r>
        <w:rPr>
          <w:rFonts w:ascii="Calibri" w:cs="Calibri" w:eastAsia="Calibri" w:hAnsi="Calibri"/>
        </w:rPr>
        <w:t xml:space="preserve">JSON-RPC 2.0 over stdio between </w:t>
      </w:r>
      <w:r>
        <w:rPr>
          <w:rFonts w:ascii="Consolas" w:cs="Consolas" w:eastAsia="Consolas" w:hAnsi="Consolas"/>
          <w:sz w:val="19"/>
          <w:szCs w:val="19"/>
          <w:shd w:fill="F3F4F6" w:val="clear"/>
        </w:rPr>
        <w:t xml:space="preserve">warden-exec</w:t>
      </w:r>
      <w:r>
        <w:rPr>
          <w:rFonts w:ascii="Calibri" w:cs="Calibri" w:eastAsia="Calibri" w:hAnsi="Calibri"/>
        </w:rPr>
        <w:t xml:space="preserve"> (proxying to the daemon) and the agent process. Methods are namespaced.</w:t>
      </w:r>
    </w:p>
    <w:p>
      <w:pPr>
        <w:pStyle w:val="Heading2"/>
        <w:spacing w:after="120" w:before="240"/>
      </w:pPr>
      <w:r>
        <w:t xml:space="preserve">2.1 Runtime →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29"/>
        <w:gridCol w:w="7071"/>
      </w:tblGrid>
      <w:tr>
        <w:trPr>
          <w:cantSplit/>
          <w:tblHeader/>
        </w:trPr>
        <w:tc>
          <w:tcPr>
            <w:tcW w:type="dxa" w:w="192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Method</w:t>
            </w:r>
          </w:p>
        </w:tc>
        <w:tc>
          <w:tcPr>
            <w:tcW w:type="dxa" w:w="707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Purpose</w:t>
            </w:r>
          </w:p>
        </w:tc>
      </w:tr>
      <w:tr>
        <w:trPr>
          <w:cantSplit/>
          <w:tblHeader w:val="false"/>
        </w:trPr>
        <w:tc>
          <w:tcPr>
            <w:tcW w:type="dxa" w:w="192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agent.initialize</w:t>
            </w:r>
          </w:p>
        </w:tc>
        <w:tc>
          <w:tcPr>
            <w:tcW w:type="dxa" w:w="707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Manifest, task input, artifact summaries, limits, protocol version</w:t>
            </w:r>
          </w:p>
        </w:tc>
      </w:tr>
      <w:tr>
        <w:trPr>
          <w:cantSplit/>
          <w:tblHeader w:val="false"/>
        </w:trPr>
        <w:tc>
          <w:tcPr>
            <w:tcW w:type="dxa" w:w="192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agent.run</w:t>
            </w:r>
          </w:p>
        </w:tc>
        <w:tc>
          <w:tcPr>
            <w:tcW w:type="dxa" w:w="707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Start; the agent returns when done with </w:t>
            </w:r>
            <w:r>
              <w:rPr>
                <w:rFonts w:ascii="Consolas" w:cs="Consolas" w:eastAsia="Consolas" w:hAnsi="Consolas"/>
                <w:sz w:val="20"/>
                <w:szCs w:val="20"/>
                <w:shd w:fill="F3F4F6" w:val="clear"/>
              </w:rPr>
              <w:t xml:space="preserve">{output, artifacts[]}</w:t>
            </w:r>
          </w:p>
        </w:tc>
      </w:tr>
      <w:tr>
        <w:trPr>
          <w:cantSplit/>
          <w:tblHeader w:val="false"/>
        </w:trPr>
        <w:tc>
          <w:tcPr>
            <w:tcW w:type="dxa" w:w="192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agent.cancel</w:t>
            </w:r>
          </w:p>
        </w:tc>
        <w:tc>
          <w:tcPr>
            <w:tcW w:type="dxa" w:w="707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Cooperative cancellation</w:t>
            </w:r>
          </w:p>
        </w:tc>
      </w:tr>
      <w:tr>
        <w:trPr>
          <w:cantSplit/>
          <w:tblHeader w:val="false"/>
        </w:trPr>
        <w:tc>
          <w:tcPr>
            <w:tcW w:type="dxa" w:w="192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agent.input</w:t>
            </w:r>
          </w:p>
        </w:tc>
        <w:tc>
          <w:tcPr>
            <w:tcW w:type="dxa" w:w="707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Answer to a question raised with </w:t>
            </w:r>
            <w:r>
              <w:rPr>
                <w:rFonts w:ascii="Consolas" w:cs="Consolas" w:eastAsia="Consolas" w:hAnsi="Consolas"/>
                <w:sz w:val="20"/>
                <w:szCs w:val="20"/>
                <w:shd w:fill="F3F4F6" w:val="clear"/>
              </w:rPr>
              <w:t xml:space="preserve">runtime.ask</w:t>
            </w:r>
          </w:p>
        </w:tc>
      </w:tr>
    </w:tbl>
    <w:p>
      <w:pPr>
        <w:spacing w:after="120"/>
      </w:pPr>
    </w:p>
    <w:p>
      <w:pPr>
        <w:pStyle w:val="Heading2"/>
        <w:spacing w:after="120" w:before="240"/>
      </w:pPr>
      <w:r>
        <w:t xml:space="preserve">2.2 Agent →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44"/>
        <w:gridCol w:w="7456"/>
      </w:tblGrid>
      <w:tr>
        <w:trPr>
          <w:cantSplit/>
          <w:tblHeader/>
        </w:trPr>
        <w:tc>
          <w:tcPr>
            <w:tcW w:type="dxa" w:w="154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Method</w:t>
            </w:r>
          </w:p>
        </w:tc>
        <w:tc>
          <w:tcPr>
            <w:tcW w:type="dxa" w:w="745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Purpose</w:t>
            </w:r>
          </w:p>
        </w:tc>
      </w:tr>
      <w:tr>
        <w:trPr>
          <w:cantSplit/>
          <w:tblHeader w:val="false"/>
        </w:trPr>
        <w:tc>
          <w:tcPr>
            <w:tcW w:type="dxa" w:w="15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runtime.model.generate</w:t>
            </w:r>
          </w:p>
        </w:tc>
        <w:tc>
          <w:tcPr>
            <w:tcW w:type="dxa" w:w="745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Canonical Model API request (WRD-05); the runtime routes, calls, streams back events; tools in the request are limited to the agent's grants</w:t>
            </w:r>
          </w:p>
        </w:tc>
      </w:tr>
      <w:tr>
        <w:trPr>
          <w:cantSplit/>
          <w:tblHeader w:val="false"/>
        </w:trPr>
        <w:tc>
          <w:tcPr>
            <w:tcW w:type="dxa" w:w="15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runtime.tool.call</w:t>
            </w:r>
          </w:p>
        </w:tc>
        <w:tc>
          <w:tcPr>
            <w:tcW w:type="dxa" w:w="745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Tool call → PDP → executor; returns the tagged result</w:t>
            </w:r>
          </w:p>
        </w:tc>
      </w:tr>
      <w:tr>
        <w:trPr>
          <w:cantSplit/>
          <w:tblHeader w:val="false"/>
        </w:trPr>
        <w:tc>
          <w:tcPr>
            <w:tcW w:type="dxa" w:w="15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runtime.artifact.write/read</w:t>
            </w:r>
          </w:p>
        </w:tc>
        <w:tc>
          <w:tcPr>
            <w:tcW w:type="dxa" w:w="745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Store and fetch artifacts with provenance filled by the runtime</w:t>
            </w:r>
          </w:p>
        </w:tc>
      </w:tr>
      <w:tr>
        <w:trPr>
          <w:cantSplit/>
          <w:tblHeader w:val="false"/>
        </w:trPr>
        <w:tc>
          <w:tcPr>
            <w:tcW w:type="dxa" w:w="15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runtime.ask</w:t>
            </w:r>
          </w:p>
        </w:tc>
        <w:tc>
          <w:tcPr>
            <w:tcW w:type="dxa" w:w="745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Ask the user (yields </w:t>
            </w:r>
            <w:r>
              <w:rPr>
                <w:rFonts w:ascii="Consolas" w:cs="Consolas" w:eastAsia="Consolas" w:hAnsi="Consolas"/>
                <w:sz w:val="20"/>
                <w:szCs w:val="20"/>
                <w:shd w:fill="F3F4F6" w:val="clear"/>
              </w:rPr>
              <w:t xml:space="preserve">waiting_for_input</w:t>
            </w:r>
            <w:r>
              <w:rPr>
                <w:rFonts w:ascii="Calibri" w:cs="Calibri" w:eastAsia="Calibri" w:hAnsi="Calibri"/>
                <w:sz w:val="20"/>
                <w:szCs w:val="20"/>
              </w:rPr>
              <w:t xml:space="preserve">)</w:t>
            </w:r>
          </w:p>
        </w:tc>
      </w:tr>
      <w:tr>
        <w:trPr>
          <w:cantSplit/>
          <w:tblHeader w:val="false"/>
        </w:trPr>
        <w:tc>
          <w:tcPr>
            <w:tcW w:type="dxa" w:w="15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runtime.delegate</w:t>
            </w:r>
          </w:p>
        </w:tc>
        <w:tc>
          <w:tcPr>
            <w:tcW w:type="dxa" w:w="745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Propose a child task (subject to </w:t>
            </w:r>
            <w:r>
              <w:rPr>
                <w:rFonts w:ascii="Consolas" w:cs="Consolas" w:eastAsia="Consolas" w:hAnsi="Consolas"/>
                <w:sz w:val="20"/>
                <w:szCs w:val="20"/>
                <w:shd w:fill="F3F4F6" w:val="clear"/>
              </w:rPr>
              <w:t xml:space="preserve">spec.delegation</w:t>
            </w:r>
            <w:r>
              <w:rPr>
                <w:rFonts w:ascii="Calibri" w:cs="Calibri" w:eastAsia="Calibri" w:hAnsi="Calibri"/>
                <w:sz w:val="20"/>
                <w:szCs w:val="20"/>
              </w:rPr>
              <w:t xml:space="preserve">)</w:t>
            </w:r>
          </w:p>
        </w:tc>
      </w:tr>
      <w:tr>
        <w:trPr>
          <w:cantSplit/>
          <w:tblHeader w:val="false"/>
        </w:trPr>
        <w:tc>
          <w:tcPr>
            <w:tcW w:type="dxa" w:w="154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runtime.log</w:t>
            </w:r>
          </w:p>
        </w:tc>
        <w:tc>
          <w:tcPr>
            <w:tcW w:type="dxa" w:w="745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Structured log lines attached to the execution</w:t>
            </w:r>
          </w:p>
        </w:tc>
      </w:tr>
      <w:tr>
        <w:trPr>
          <w:cantSplit/>
          <w:tblHeader w:val="false"/>
        </w:trPr>
        <w:tc>
          <w:tcPr>
            <w:tcW w:type="dxa" w:w="154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runtime.progress</w:t>
            </w:r>
          </w:p>
        </w:tc>
        <w:tc>
          <w:tcPr>
            <w:tcW w:type="dxa" w:w="745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Progress for the timeline</w:t>
            </w:r>
          </w:p>
        </w:tc>
      </w:tr>
    </w:tbl>
    <w:p>
      <w:pPr>
        <w:spacing w:after="120"/>
      </w:pPr>
    </w:p>
    <w:p>
      <w:pPr>
        <w:spacing w:after="120"/>
      </w:pPr>
      <w:r>
        <w:rPr>
          <w:rFonts w:ascii="Calibri" w:cs="Calibri" w:eastAsia="Calibri" w:hAnsi="Calibri"/>
        </w:rPr>
        <w:t xml:space="preserve">Everything the agent does is still an event; budgets are enforced by the runtime regardless of what the agent process does; exceeding them terminates the process.</w:t>
      </w:r>
    </w:p>
    <w:p>
      <w:pPr>
        <w:pStyle w:val="Heading1"/>
        <w:spacing w:after="120" w:before="360"/>
      </w:pPr>
      <w:r>
        <w:t xml:space="preserve">3. SDK surface (TypeScript shown; Go and Python mirror it)</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import { defineAgent, type AgentContext } from "@warden/sdk";</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export default defineAgent({</w:t>
      </w:r>
    </w:p>
    <w:p>
      <w:pPr>
        <w:keepLines/>
        <w:shd w:fill="F3F4F6" w:val="clear"/>
        <w:spacing w:after="0" w:before="0" w:line="260"/>
        <w:ind w:left="200" w:right="200"/>
      </w:pPr>
      <w:r>
        <w:rPr>
          <w:rFonts w:ascii="Consolas" w:cs="Consolas" w:eastAsia="Consolas" w:hAnsi="Consolas"/>
          <w:sz w:val="18"/>
          <w:szCs w:val="18"/>
        </w:rPr>
        <w:t xml:space="preserve">  async run(ctx: AgentContext) {</w:t>
      </w:r>
    </w:p>
    <w:p>
      <w:pPr>
        <w:keepLines/>
        <w:shd w:fill="F3F4F6" w:val="clear"/>
        <w:spacing w:after="0" w:before="0" w:line="260"/>
        <w:ind w:left="200" w:right="200"/>
      </w:pPr>
      <w:r>
        <w:rPr>
          <w:rFonts w:ascii="Consolas" w:cs="Consolas" w:eastAsia="Consolas" w:hAnsi="Consolas"/>
          <w:sz w:val="18"/>
          <w:szCs w:val="18"/>
        </w:rPr>
        <w:t xml:space="preserve">    const plan = await ctx.artifacts.read("plan");</w:t>
      </w:r>
    </w:p>
    <w:p>
      <w:pPr>
        <w:keepLines/>
        <w:shd w:fill="F3F4F6" w:val="clear"/>
        <w:spacing w:after="0" w:before="0" w:line="260"/>
        <w:ind w:left="200" w:right="200"/>
      </w:pPr>
      <w:r>
        <w:rPr>
          <w:rFonts w:ascii="Consolas" w:cs="Consolas" w:eastAsia="Consolas" w:hAnsi="Consolas"/>
          <w:sz w:val="18"/>
          <w:szCs w:val="18"/>
        </w:rPr>
        <w:t xml:space="preserve">    const files = await ctx.tools.call("fs.search", { pattern: "TODO", paths: ["src/**"] });</w:t>
      </w:r>
    </w:p>
    <w:p>
      <w:pPr>
        <w:keepLines/>
        <w:shd w:fill="F3F4F6" w:val="clear"/>
        <w:spacing w:after="0" w:before="0" w:line="260"/>
        <w:ind w:left="200" w:right="200"/>
      </w:pPr>
      <w:r>
        <w:rPr>
          <w:rFonts w:ascii="Consolas" w:cs="Consolas" w:eastAsia="Consolas" w:hAnsi="Consolas"/>
          <w:sz w:val="18"/>
          <w:szCs w:val="18"/>
        </w:rPr>
        <w:t xml:space="preserve">    const res = await ctx.model.generate({</w:t>
      </w:r>
    </w:p>
    <w:p>
      <w:pPr>
        <w:keepLines/>
        <w:shd w:fill="F3F4F6" w:val="clear"/>
        <w:spacing w:after="0" w:before="0" w:line="260"/>
        <w:ind w:left="200" w:right="200"/>
      </w:pPr>
      <w:r>
        <w:rPr>
          <w:rFonts w:ascii="Consolas" w:cs="Consolas" w:eastAsia="Consolas" w:hAnsi="Consolas"/>
          <w:sz w:val="18"/>
          <w:szCs w:val="18"/>
        </w:rPr>
        <w:t xml:space="preserve">      messages: [{ role: "user", content: [{ type: "text", text: `Summarize: ${files.output.matches.length} TODOs` }] }],</w:t>
      </w:r>
    </w:p>
    <w:p>
      <w:pPr>
        <w:keepLines/>
        <w:shd w:fill="F3F4F6" w:val="clear"/>
        <w:spacing w:after="0" w:before="0" w:line="260"/>
        <w:ind w:left="200" w:right="200"/>
      </w:pPr>
      <w:r>
        <w:rPr>
          <w:rFonts w:ascii="Consolas" w:cs="Consolas" w:eastAsia="Consolas" w:hAnsi="Consolas"/>
          <w:sz w:val="18"/>
          <w:szCs w:val="18"/>
        </w:rPr>
        <w:t xml:space="preserve">      response_format: { type: "json_schema", schema: ctx.schemas.output },</w:t>
      </w:r>
    </w:p>
    <w:p>
      <w:pPr>
        <w:keepLines/>
        <w:shd w:fill="F3F4F6" w:val="clear"/>
        <w:spacing w:after="0" w:before="0" w:line="260"/>
        <w:ind w:left="200" w:right="200"/>
      </w:pPr>
      <w:r>
        <w:rPr>
          <w:rFonts w:ascii="Consolas" w:cs="Consolas" w:eastAsia="Consolas" w:hAnsi="Consolas"/>
          <w:sz w:val="18"/>
          <w:szCs w:val="18"/>
        </w:rPr>
        <w:t xml:space="preserve">    });</w:t>
      </w:r>
    </w:p>
    <w:p>
      <w:pPr>
        <w:keepLines/>
        <w:shd w:fill="F3F4F6" w:val="clear"/>
        <w:spacing w:after="0" w:before="0" w:line="260"/>
        <w:ind w:left="200" w:right="200"/>
      </w:pPr>
      <w:r>
        <w:rPr>
          <w:rFonts w:ascii="Consolas" w:cs="Consolas" w:eastAsia="Consolas" w:hAnsi="Consolas"/>
          <w:sz w:val="18"/>
          <w:szCs w:val="18"/>
        </w:rPr>
        <w:t xml:space="preserve">    await ctx.artifacts.write("todo-report", res.json);</w:t>
      </w:r>
    </w:p>
    <w:p>
      <w:pPr>
        <w:keepLines/>
        <w:shd w:fill="F3F4F6" w:val="clear"/>
        <w:spacing w:after="0" w:before="0" w:line="260"/>
        <w:ind w:left="200" w:right="200"/>
      </w:pPr>
      <w:r>
        <w:rPr>
          <w:rFonts w:ascii="Consolas" w:cs="Consolas" w:eastAsia="Consolas" w:hAnsi="Consolas"/>
          <w:sz w:val="18"/>
          <w:szCs w:val="18"/>
        </w:rPr>
        <w:t xml:space="preserve">    return { summary: `Found ${files.output.matches.length} TODOs` };</w:t>
      </w:r>
    </w:p>
    <w:p>
      <w:pPr>
        <w:keepLines/>
        <w:shd w:fill="F3F4F6" w:val="clear"/>
        <w:spacing w:after="0" w:before="0" w:line="260"/>
        <w:ind w:left="200" w:right="200"/>
      </w:pPr>
      <w:r>
        <w:rPr>
          <w:rFonts w:ascii="Consolas" w:cs="Consolas" w:eastAsia="Consolas" w:hAnsi="Consolas"/>
          <w:sz w:val="18"/>
          <w:szCs w:val="18"/>
        </w:rPr>
        <w:t xml:space="preserve">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w:t>
      </w:r>
    </w:p>
    <w:p>
      <w:pPr>
        <w:spacing w:after="80"/>
      </w:pPr>
    </w:p>
    <w:p>
      <w:pPr>
        <w:spacing w:after="120"/>
      </w:pPr>
      <w:r>
        <w:rPr>
          <w:rFonts w:ascii="Calibri" w:cs="Calibri" w:eastAsia="Calibri" w:hAnsi="Calibri"/>
        </w:rPr>
        <w:t xml:space="preserve">Helpers: typed tool wrappers generated from descriptors, schema validation, retry helpers for retryable model errors (bounded by runtime budgets), test harness (</w:t>
      </w:r>
      <w:r>
        <w:rPr>
          <w:rFonts w:ascii="Consolas" w:cs="Consolas" w:eastAsia="Consolas" w:hAnsi="Consolas"/>
          <w:sz w:val="19"/>
          <w:szCs w:val="19"/>
          <w:shd w:fill="F3F4F6" w:val="clear"/>
        </w:rPr>
        <w:t xml:space="preserve">@warden/sdk/testing</w:t>
      </w:r>
      <w:r>
        <w:rPr>
          <w:rFonts w:ascii="Calibri" w:cs="Calibri" w:eastAsia="Calibri" w:hAnsi="Calibri"/>
        </w:rPr>
        <w:t xml:space="preserve">) that runs an agent against a fixture with a fake model or a recorded model transcript.</w:t>
      </w:r>
    </w:p>
    <w:p>
      <w:pPr>
        <w:pStyle w:val="Heading1"/>
        <w:spacing w:after="120" w:before="360"/>
      </w:pPr>
      <w:r>
        <w:t xml:space="preserve">4. Packaging coded agents</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manifest.yaml</w:t>
      </w:r>
    </w:p>
    <w:p>
      <w:pPr>
        <w:keepLines/>
        <w:shd w:fill="F3F4F6" w:val="clear"/>
        <w:spacing w:after="0" w:before="0" w:line="260"/>
        <w:ind w:left="200" w:right="200"/>
      </w:pPr>
      <w:r>
        <w:rPr>
          <w:rFonts w:ascii="Consolas" w:cs="Consolas" w:eastAsia="Consolas" w:hAnsi="Consolas"/>
          <w:sz w:val="18"/>
          <w:szCs w:val="18"/>
        </w:rPr>
        <w:t xml:space="preserve">  spec.implementation:</w:t>
      </w:r>
    </w:p>
    <w:p>
      <w:pPr>
        <w:keepLines/>
        <w:shd w:fill="F3F4F6" w:val="clear"/>
        <w:spacing w:after="0" w:before="0" w:line="260"/>
        <w:ind w:left="200" w:right="200"/>
      </w:pPr>
      <w:r>
        <w:rPr>
          <w:rFonts w:ascii="Consolas" w:cs="Consolas" w:eastAsia="Consolas" w:hAnsi="Consolas"/>
          <w:sz w:val="18"/>
          <w:szCs w:val="18"/>
        </w:rPr>
        <w:t xml:space="preserve">    kind: process</w:t>
      </w:r>
    </w:p>
    <w:p>
      <w:pPr>
        <w:keepLines/>
        <w:shd w:fill="F3F4F6" w:val="clear"/>
        <w:spacing w:after="0" w:before="0" w:line="260"/>
        <w:ind w:left="200" w:right="200"/>
      </w:pPr>
      <w:r>
        <w:rPr>
          <w:rFonts w:ascii="Consolas" w:cs="Consolas" w:eastAsia="Consolas" w:hAnsi="Consolas"/>
          <w:sz w:val="18"/>
          <w:szCs w:val="18"/>
        </w:rPr>
        <w:t xml:space="preserve">    runtime: node@22 | python@3.12 | go-binary</w:t>
      </w:r>
    </w:p>
    <w:p>
      <w:pPr>
        <w:keepLines/>
        <w:shd w:fill="F3F4F6" w:val="clear"/>
        <w:spacing w:after="0" w:before="0" w:line="260"/>
        <w:ind w:left="200" w:right="200"/>
      </w:pPr>
      <w:r>
        <w:rPr>
          <w:rFonts w:ascii="Consolas" w:cs="Consolas" w:eastAsia="Consolas" w:hAnsi="Consolas"/>
          <w:sz w:val="18"/>
          <w:szCs w:val="18"/>
        </w:rPr>
        <w:t xml:space="preserve">    entry: dist/agent.js</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image: ghcr.io/acme/todo-agent@sha256:...   # optional L2 image with dependencies</w:t>
      </w:r>
    </w:p>
    <w:p>
      <w:pPr>
        <w:spacing w:after="80"/>
      </w:pPr>
    </w:p>
    <w:p>
      <w:pPr>
        <w:spacing w:after="120"/>
      </w:pPr>
      <w:r>
        <w:rPr>
          <w:rFonts w:ascii="Calibri" w:cs="Calibri" w:eastAsia="Calibri" w:hAnsi="Calibri"/>
        </w:rPr>
        <w:t xml:space="preserve">The implementation's dependencies are part of the package digest; for Node and Python the runtime uses a locked install in a package cache built inside a sandbox; for Go a static binary. Packages are signed like declarative ones.</w:t>
      </w:r>
    </w:p>
    <w:p>
      <w:pPr>
        <w:pStyle w:val="Heading1"/>
        <w:spacing w:after="120" w:before="360"/>
      </w:pPr>
      <w:r>
        <w:t xml:space="preserve">5. Testing</w:t>
      </w:r>
    </w:p>
    <w:p>
      <w:pPr>
        <w:pStyle w:val="ListParagraph"/>
        <w:numPr>
          <w:ilvl w:val="0"/>
          <w:numId w:val="2"/>
        </w:numPr>
        <w:spacing w:after="60"/>
      </w:pPr>
      <w:r>
        <w:rPr>
          <w:rFonts w:ascii="Consolas" w:cs="Consolas" w:eastAsia="Consolas" w:hAnsi="Consolas"/>
          <w:sz w:val="19"/>
          <w:szCs w:val="19"/>
          <w:shd w:fill="F3F4F6" w:val="clear"/>
        </w:rPr>
        <w:t xml:space="preserve">warden agent test ./my-agent</w:t>
      </w:r>
      <w:r>
        <w:rPr>
          <w:rFonts w:ascii="Calibri" w:cs="Calibri" w:eastAsia="Calibri" w:hAnsi="Calibri"/>
        </w:rPr>
        <w:t xml:space="preserve"> runs the package's evals with a fake model (deterministic transcripts) and with real models when configured.</w:t>
      </w:r>
    </w:p>
    <w:p>
      <w:pPr>
        <w:pStyle w:val="ListParagraph"/>
        <w:numPr>
          <w:ilvl w:val="0"/>
          <w:numId w:val="2"/>
        </w:numPr>
        <w:spacing w:after="60"/>
      </w:pPr>
      <w:r>
        <w:rPr>
          <w:rFonts w:ascii="Calibri" w:cs="Calibri" w:eastAsia="Calibri" w:hAnsi="Calibri"/>
        </w:rPr>
        <w:t xml:space="preserve">Contract tests verify that the agent never attempts a tool outside its manifest (any such attempt is logged and fails the test).</w:t>
      </w:r>
    </w:p>
    <w:p>
      <w:pPr>
        <w:pStyle w:val="ListParagraph"/>
        <w:numPr>
          <w:ilvl w:val="0"/>
          <w:numId w:val="2"/>
        </w:numPr>
        <w:spacing w:after="60"/>
      </w:pPr>
      <w:r>
        <w:rPr>
          <w:rFonts w:ascii="Calibri" w:cs="Calibri" w:eastAsia="Calibri" w:hAnsi="Calibri"/>
        </w:rPr>
        <w:t xml:space="preserve">Golden transcripts for regression.</w:t>
      </w:r>
    </w:p>
    <w:p>
      <w:pPr>
        <w:pStyle w:val="Heading1"/>
        <w:spacing w:after="120" w:before="360"/>
      </w:pPr>
      <w:r>
        <w:t xml:space="preserve">6. Compatibility</w:t>
      </w:r>
    </w:p>
    <w:p>
      <w:pPr>
        <w:spacing w:after="120"/>
      </w:pPr>
      <w:r>
        <w:rPr>
          <w:rFonts w:ascii="Consolas" w:cs="Consolas" w:eastAsia="Consolas" w:hAnsi="Consolas"/>
          <w:sz w:val="19"/>
          <w:szCs w:val="19"/>
          <w:shd w:fill="F3F4F6" w:val="clear"/>
        </w:rPr>
        <w:t xml:space="preserve">protocol_version</w:t>
      </w:r>
      <w:r>
        <w:rPr>
          <w:rFonts w:ascii="Calibri" w:cs="Calibri" w:eastAsia="Calibri" w:hAnsi="Calibri"/>
        </w:rPr>
        <w:t xml:space="preserve"> negotiated at </w:t>
      </w:r>
      <w:r>
        <w:rPr>
          <w:rFonts w:ascii="Consolas" w:cs="Consolas" w:eastAsia="Consolas" w:hAnsi="Consolas"/>
          <w:sz w:val="19"/>
          <w:szCs w:val="19"/>
          <w:shd w:fill="F3F4F6" w:val="clear"/>
        </w:rPr>
        <w:t xml:space="preserve">agent.initialize</w:t>
      </w:r>
      <w:r>
        <w:rPr>
          <w:rFonts w:ascii="Calibri" w:cs="Calibri" w:eastAsia="Calibri" w:hAnsi="Calibri"/>
        </w:rPr>
        <w:t xml:space="preserve">; the runtime supports the current and previous major version; SDKs pin to a protocol version and warn on mismatch.</w:t>
      </w:r>
    </w:p>
    <w:p>
      <w:pPr>
        <w:pStyle w:val="Heading1"/>
        <w:spacing w:after="120" w:before="360"/>
      </w:pPr>
      <w:r>
        <w:t xml:space="preserve">7. Relationship to external harnesses</w:t>
      </w:r>
    </w:p>
    <w:p>
      <w:pPr>
        <w:spacing w:after="120"/>
      </w:pPr>
      <w:r>
        <w:rPr>
          <w:rFonts w:ascii="Calibri" w:cs="Calibri" w:eastAsia="Calibri" w:hAnsi="Calibri"/>
        </w:rPr>
        <w:t xml:space="preserve">External harness adapters (WRD-05 §9) are implemented as built-in coded agents speaking the Agent Protocol on the runtime side and the vendor's SDK on the other side, inside the sandbox. This keeps vendor engines under the same contract as any other coded agent.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WRD-14  ·  Agent SDK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SDK Specification</dc:title>
  <dc:creator>Product &amp; Architecture</dc:creator>
  <dc:description>Declarative agents first, the Agent Protocol for coded agents, SDK surface in TypeScript, Go and Python, packaging, testing, compatibility</dc:description>
  <cp:lastModifiedBy>Un-named</cp:lastModifiedBy>
  <cp:revision>1</cp:revision>
  <dcterms:created xsi:type="dcterms:W3CDTF">2026-09-25T19:54:02.625Z</dcterms:created>
  <dcterms:modified xsi:type="dcterms:W3CDTF">2026-09-25T19:54:02.625Z</dcterms:modified>
</cp:coreProperties>
</file>

<file path=docProps/custom.xml><?xml version="1.0" encoding="utf-8"?>
<Properties xmlns="http://schemas.openxmlformats.org/officeDocument/2006/custom-properties" xmlns:vt="http://schemas.openxmlformats.org/officeDocument/2006/docPropsVTypes"/>
</file>