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Arial" w:cs="Arial"/>
          <w:b/>
          <w:bCs/>
          <w:color w:val="1F4E79"/>
          <w:sz w:val="40"/>
          <w:szCs w:val="40"/>
        </w:rPr>
        <w:t>DETECTION ENGINEERING</w:t>
      </w:r>
    </w:p>
    <w:p>
      <w:pPr>
        <w:pStyle w:val="Normal"/>
        <w:spacing w:before="0" w:after="240"/>
        <w:rPr/>
      </w:pPr>
      <w:r>
        <w:rPr>
          <w:rFonts w:eastAsia="Arial" w:cs="Arial"/>
          <w:color w:val="595959"/>
          <w:sz w:val="24"/>
          <w:szCs w:val="24"/>
        </w:rPr>
        <w:t>Rule 100023 — RDP Lateral Movement from the DMZ Subnet</w:t>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Field</w:t>
            </w:r>
          </w:p>
        </w:tc>
        <w:tc>
          <w:tcPr>
            <w:tcW w:w="65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Value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Rule ID</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100023</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Level</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12 (High)</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Platform</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Wazuh 4.7.5 — SRV-SIEM01</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File</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/var/ossec/etc/rules/local_rules.xml</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MITRE Technique</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T1021.001 — Remote Services: RDP</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Related Incident</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IR-2026-005 — Phase 23 Lateral Movement</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Status</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Deployed &amp; validated against live attack</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Author</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Raymond</w:t>
            </w:r>
          </w:p>
        </w:tc>
      </w:tr>
    </w:tbl>
    <w:p>
      <w:pPr>
        <w:pStyle w:val="Heading1"/>
        <w:rPr/>
      </w:pPr>
      <w:r>
        <w:rPr/>
        <w:t>1. Objective</w:t>
      </w:r>
    </w:p>
    <w:p>
      <w:pPr>
        <w:pStyle w:val="Normal"/>
        <w:spacing w:before="0" w:after="120"/>
        <w:rPr/>
      </w:pPr>
      <w:r>
        <w:rPr>
          <w:rFonts w:eastAsia="Arial" w:cs="Arial"/>
        </w:rPr>
        <w:t>Build a custom Wazuh detection that fires specifically when a Remote Desktop (RDP) logon to an internal Windows host originates from the DMZ subnet (10.10.30.0/24). In this environment, an RDP session sourced from the DMZ should never occur under normal operation, so it is a high-confidence indicator of lateral movement from a compromised DMZ asset. The generic built-in logon-success rule does not distinguish this case, producing low-signal alerts that would be lost in normal authentication noise.</w:t>
      </w:r>
    </w:p>
    <w:p>
      <w:pPr>
        <w:pStyle w:val="Heading1"/>
        <w:rPr/>
      </w:pPr>
      <w:r>
        <w:rPr/>
        <w:t>2. Detection Logic</w:t>
      </w:r>
    </w:p>
    <w:p>
      <w:pPr>
        <w:pStyle w:val="Normal"/>
        <w:spacing w:before="0" w:after="120"/>
        <w:rPr/>
      </w:pPr>
      <w:r>
        <w:rPr>
          <w:rFonts w:eastAsia="Arial" w:cs="Arial"/>
        </w:rPr>
        <w:t>The rule is a child of Wazuh's built-in RDP logon rule and adds two field conditions that must both be present on the same event: a logon type of 10 (RemoteInteractive, which is RDP) and a source IP address within the DMZ subnet. The final deployed rule:</w:t>
      </w:r>
    </w:p>
    <w:p>
      <w:pPr>
        <w:pStyle w:val="Normal"/>
        <w:shd w:val="clear" w:fill="F2F2F2"/>
        <w:spacing w:before="0" w:after="0"/>
        <w:rPr/>
      </w:pPr>
      <w:r>
        <w:rPr>
          <w:rFonts w:eastAsia="Courier New" w:cs="Courier New" w:ascii="Courier New" w:hAnsi="Courier New"/>
          <w:sz w:val="18"/>
          <w:szCs w:val="18"/>
        </w:rPr>
        <w:t>&lt;group name="local,windows,lateral_movement,"&gt;</w:t>
      </w:r>
    </w:p>
    <w:p>
      <w:pPr>
        <w:pStyle w:val="Normal"/>
        <w:shd w:val="clear" w:fill="F2F2F2"/>
        <w:spacing w:before="0" w:after="0"/>
        <w:rPr/>
      </w:pPr>
      <w:r>
        <w:rPr>
          <w:rFonts w:eastAsia="Courier New" w:cs="Courier New" w:ascii="Courier New" w:hAnsi="Courier New"/>
          <w:sz w:val="18"/>
          <w:szCs w:val="18"/>
        </w:rPr>
        <w:t xml:space="preserve">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&lt;rule id="100023" level="12"&gt;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&lt;if_sid&gt;92653&lt;/if_sid&gt;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&lt;field name="win.eventdata.logonType"&gt;^10$&lt;/field&gt;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&lt;field name="win.eventdata.ipAddress"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type="pcre2"&gt;^10\.10\.30\.&lt;/field&gt;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&lt;description&gt;RDP logon from DMZ subnet detected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possible lateral movement from compromised DMZ</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host (T1021.001)&lt;/description&gt;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&lt;mitre&gt;&lt;id&gt;T1021.001&lt;/id&gt;&lt;/mitre&gt;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&lt;group&gt;lateral_movement,pci_dss_10.2.5,&lt;/group&gt;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&lt;/rule&gt;</w:t>
      </w:r>
    </w:p>
    <w:p>
      <w:pPr>
        <w:pStyle w:val="Normal"/>
        <w:shd w:val="clear" w:fill="F2F2F2"/>
        <w:spacing w:before="0" w:after="0"/>
        <w:rPr/>
      </w:pPr>
      <w:r>
        <w:rPr>
          <w:rFonts w:eastAsia="Courier New" w:cs="Courier New" w:ascii="Courier New" w:hAnsi="Courier New"/>
          <w:sz w:val="18"/>
          <w:szCs w:val="18"/>
        </w:rPr>
        <w:t xml:space="preserve"> </w:t>
      </w:r>
    </w:p>
    <w:p>
      <w:pPr>
        <w:pStyle w:val="Normal"/>
        <w:shd w:val="clear" w:fill="F2F2F2"/>
        <w:spacing w:before="0" w:after="120"/>
        <w:rPr/>
      </w:pPr>
      <w:r>
        <w:rPr>
          <w:rFonts w:eastAsia="Courier New" w:cs="Courier New" w:ascii="Courier New" w:hAnsi="Courier New"/>
          <w:sz w:val="18"/>
          <w:szCs w:val="18"/>
        </w:rPr>
        <w:t>&lt;/group&gt;</w:t>
      </w:r>
    </w:p>
    <w:p>
      <w:pPr>
        <w:pStyle w:val="Normal"/>
        <w:spacing w:before="0" w:after="120"/>
        <w:rPr/>
      </w:pPr>
      <w:r>
        <w:rPr>
          <w:rFonts w:eastAsia="Arial" w:cs="Arial"/>
        </w:rPr>
        <w:t>Field notes: ^10$ anchors an exact match on logon type 10 to avoid matching types 1, 2, 3, or 5. The pcre2 expression ^10\.10\.30\. matches any source address in the DMZ /24, with the dots escaped so they are treated as literals rather than regex wildcards.</w:t>
      </w:r>
    </w:p>
    <w:p>
      <w:pPr>
        <w:pStyle w:val="Heading1"/>
        <w:rPr/>
      </w:pPr>
      <w:r>
        <w:rPr/>
        <w:t>3. Build and Debugging Process</w:t>
      </w:r>
    </w:p>
    <w:p>
      <w:pPr>
        <w:pStyle w:val="Normal"/>
        <w:spacing w:before="0" w:after="120"/>
        <w:rPr/>
      </w:pPr>
      <w:r>
        <w:rPr>
          <w:rFonts w:eastAsia="Arial" w:cs="Arial"/>
        </w:rPr>
        <w:t>The rule did not fire on the first attempt. Two distinct issues were identified and resolved through live testing, and both are worth documenting because they are easy to miss and would cause a rule like this to silently fail in production.</w:t>
      </w:r>
    </w:p>
    <w:p>
      <w:pPr>
        <w:pStyle w:val="Heading2"/>
        <w:rPr/>
      </w:pPr>
      <w:r>
        <w:rPr/>
        <w:t>3.1 Wrong parent rule (60106 vs 92653)</w:t>
      </w:r>
    </w:p>
    <w:p>
      <w:pPr>
        <w:pStyle w:val="Normal"/>
        <w:spacing w:before="0" w:after="120"/>
        <w:rPr/>
      </w:pPr>
      <w:r>
        <w:rPr>
          <w:rFonts w:eastAsia="Arial" w:cs="Arial"/>
        </w:rPr>
        <w:t>The rule was initially written with &lt;if_sid&gt;60106&lt;/if_sid&gt;, the generic Windows logon-success rule, as its parent. After running the attack, rule 100023 did not fire even though the RDP logon clearly succeeded. Investigation in the Wazuh dashboard showed that the event carrying both the logonType (10) and the source ipAddress (10.10.30.130) actually fired under rule 92653 — Wazuh's built-in RDP-specific logon rule — not 60106. Because the parent SID never matched, the child rule could never evaluate its field conditions.</w:t>
      </w:r>
    </w:p>
    <w:p>
      <w:pPr>
        <w:pStyle w:val="Normal"/>
        <w:spacing w:before="0" w:after="120"/>
        <w:rPr/>
      </w:pPr>
      <w:r>
        <w:rPr>
          <w:rFonts w:eastAsia="Arial" w:cs="Arial"/>
        </w:rPr>
        <w:t>Examining the raw event confirmed that 92653 is the correct anchor: its description was “User: LAB\labuser logged using Remote Desktop Connection (RDP) from ip:10.10.30.130,” and the same event carried logonType 10 and the DMZ source IP together. Changing the parent to &lt;if_sid&gt;92653&lt;/if_sid&gt; was the fix. As a bonus, 92653 is a more precise parent than the generic 60106, reducing the chance of unintended matches.</w:t>
      </w:r>
    </w:p>
    <w:p>
      <w:pPr>
        <w:pStyle w:val="Heading2"/>
        <w:rPr/>
      </w:pPr>
      <w:r>
        <w:rPr/>
        <w:t>3.2 Session reconnect vs fresh logon</w:t>
      </w:r>
    </w:p>
    <w:p>
      <w:pPr>
        <w:pStyle w:val="Normal"/>
        <w:spacing w:before="0" w:after="120"/>
        <w:rPr/>
      </w:pPr>
      <w:r>
        <w:rPr>
          <w:rFonts w:eastAsia="Arial" w:cs="Arial"/>
        </w:rPr>
        <w:t>After correcting the parent SID, the rule still did not fire on the next test. The cause was behavioral, not a rule defect: the attacker account (labuser) was already logged in, so the new RDP connection reconnected to the existing session rather than creating a new one. A reconnect generates a generic logon event (rule 60106) and does not reliably produce the type-10 RDP logon event that carries the source IP. The fix was to fully sign the account out on the target before reconnecting. The subsequent fresh logon generated the expected 92653 event, and rule 100023 fired correctly.</w:t>
      </w:r>
    </w:p>
    <w:p>
      <w:pPr>
        <w:pStyle w:val="Normal"/>
        <w:spacing w:before="0" w:after="120"/>
        <w:rPr/>
      </w:pPr>
      <w:r>
        <w:rPr>
          <w:rFonts w:eastAsia="Arial" w:cs="Arial"/>
        </w:rPr>
        <w:t>This is a meaningful detection-engineering lesson: a rule validated only against session reconnects could appear broken, and conversely a detection that depends on fresh-logon events may miss an attacker who reuses an existing session. Both logon and reconnect events (4624 and 4778) are worth understanding when building RDP detections.</w:t>
      </w:r>
    </w:p>
    <w:p>
      <w:pPr>
        <w:pStyle w:val="Heading1"/>
        <w:rPr/>
      </w:pPr>
      <w:r>
        <w:rPr/>
        <w:t>4. Validation</w:t>
      </w:r>
    </w:p>
    <w:p>
      <w:pPr>
        <w:pStyle w:val="Normal"/>
        <w:spacing w:before="0" w:after="120"/>
        <w:rPr/>
      </w:pPr>
      <w:r>
        <w:rPr>
          <w:rFonts w:eastAsia="Arial" w:cs="Arial"/>
        </w:rPr>
        <w:t>The rule was validated end-to-end against the live attack chain from IR-2026-005. With the deliberate pfSense misconfiguration in place permitting RDP from the DMZ, a fresh RDP logon was performed from ATT-KALI01 (10.10.30.130) to CLI-WIN11-01 (10.10.20.134) using the labuser account. The Wazuh dashboard returned two matching alerts:</w:t>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Field</w:t>
            </w:r>
          </w:p>
        </w:tc>
        <w:tc>
          <w:tcPr>
            <w:tcW w:w="65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Observed Value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rule.id</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100023</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rule.level</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12</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Technique</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T1021.001</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Tactic</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Lateral Movement</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Agent</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003 — CLI-WIN11-01</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Description</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RDP logon from DMZ subnet detected — possible lateral movement</w:t>
            </w:r>
          </w:p>
        </w:tc>
      </w:tr>
    </w:tbl>
    <w:p>
      <w:pPr>
        <w:pStyle w:val="Normal"/>
        <w:spacing w:before="0" w:after="120"/>
        <w:rPr/>
      </w:pPr>
      <w:r>
        <w:rPr>
          <w:rFonts w:eastAsia="Arial" w:cs="Arial"/>
        </w:rPr>
        <w:t>Configuration was verified with wazuh-analysisd -t before each manager restart to ensure no syntax errors were introduced. A timestamped backup of local_rules.xml was taken prior to editing as a rollback point.</w:t>
      </w:r>
    </w:p>
    <w:p>
      <w:pPr>
        <w:pStyle w:val="Heading1"/>
        <w:rPr/>
      </w:pPr>
      <w:r>
        <w:rPr/>
        <w:t>5. Tuning Notes and Limitations</w:t>
      </w:r>
    </w:p>
    <w:p>
      <w:pPr>
        <w:pStyle w:val="ListParagraph"/>
        <w:numPr>
          <w:ilvl w:val="0"/>
          <w:numId w:val="3"/>
        </w:numPr>
        <w:spacing w:before="0" w:after="60"/>
        <w:rPr/>
      </w:pPr>
      <w:r>
        <w:rPr>
          <w:rFonts w:eastAsia="Arial" w:cs="Arial"/>
        </w:rPr>
        <w:t>The rule assumes any RDP logon from 10.10.30.0/24 is malicious. This holds in the current lab design where the DMZ has no legitimate reason to RDP into internal hosts. In a production environment the source-IP condition would need to reflect the real network's legitimate jump-host or admin paths.</w:t>
      </w:r>
    </w:p>
    <w:p>
      <w:pPr>
        <w:pStyle w:val="ListParagraph"/>
        <w:numPr>
          <w:ilvl w:val="0"/>
          <w:numId w:val="1"/>
        </w:numPr>
        <w:spacing w:before="0" w:after="60"/>
        <w:rPr/>
      </w:pPr>
      <w:r>
        <w:rPr>
          <w:rFonts w:eastAsia="Arial" w:cs="Arial"/>
        </w:rPr>
        <w:t>The rule depends on the source IP being present in the 4624/92653 event. NLA-based reconnects and certain gateway configurations can omit or alter the source IP, so this detection should be one layer among several, not a sole control.</w:t>
      </w:r>
    </w:p>
    <w:p>
      <w:pPr>
        <w:pStyle w:val="ListParagraph"/>
        <w:numPr>
          <w:ilvl w:val="0"/>
          <w:numId w:val="1"/>
        </w:numPr>
        <w:spacing w:before="0" w:after="60"/>
        <w:rPr/>
      </w:pPr>
      <w:r>
        <w:rPr>
          <w:rFonts w:eastAsia="Arial" w:cs="Arial"/>
        </w:rPr>
        <w:t>A complementary network-layer detection (for example, a firewall or Suricata alert on DMZ-to-Client RDP traffic) would catch the attempt even when host telemetry is incomplete, providing defense in depth.</w:t>
      </w:r>
    </w:p>
    <w:p>
      <w:pPr>
        <w:pStyle w:val="ListParagraph"/>
        <w:numPr>
          <w:ilvl w:val="0"/>
          <w:numId w:val="1"/>
        </w:numPr>
        <w:spacing w:before="0" w:after="60"/>
        <w:rPr/>
      </w:pPr>
      <w:r>
        <w:rPr>
          <w:rFonts w:eastAsia="Arial" w:cs="Arial"/>
        </w:rPr>
        <w:t>Consider a companion rule on event 4778 (session reconnect) to cover the reuse case described in section 3.2.</w:t>
      </w:r>
    </w:p>
    <w:p>
      <w:pPr>
        <w:pStyle w:val="Heading1"/>
        <w:rPr/>
      </w:pPr>
      <w:r>
        <w:rPr/>
        <w:t>6. Reusable Pattern</w:t>
      </w:r>
    </w:p>
    <w:p>
      <w:pPr>
        <w:pStyle w:val="Normal"/>
        <w:spacing w:before="0" w:after="120"/>
        <w:rPr/>
      </w:pPr>
      <w:r>
        <w:rPr>
          <w:rFonts w:eastAsia="Arial" w:cs="Arial"/>
        </w:rPr>
        <w:t>This document establishes the standard format for custom detection work in the lab going forward. Each new rule should capture: the objective and why the existing rules are insufficient, the final rule logic with field-level notes, any debugging findings encountered during the build, the validation evidence proving the rule fires on the intended event, and the tuning notes and limitations that a future analyst would need. Documenting the debugging — not just the finished rule — is what demonstrates detection-engineering judgment rather than rule copying.</w:t>
      </w:r>
    </w:p>
    <w:p>
      <w:pPr>
        <w:pStyle w:val="Normal"/>
        <w:spacing w:before="360" w:after="0"/>
        <w:jc w:val="center"/>
        <w:rPr/>
      </w:pPr>
      <w:r>
        <w:rPr>
          <w:rFonts w:eastAsia="Arial" w:cs="Arial"/>
          <w:i/>
          <w:iCs/>
          <w:color w:val="595959"/>
        </w:rPr>
        <w:t xml:space="preserve">— </w:t>
      </w:r>
      <w:r>
        <w:rPr>
          <w:rFonts w:eastAsia="Arial" w:cs="Arial"/>
          <w:i/>
          <w:iCs/>
          <w:color w:val="595959"/>
        </w:rPr>
        <w:t>End of Detection Engineering: Rule 100023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95959"/>
        <w:sz w:val="16"/>
        <w:szCs w:val="16"/>
      </w:rPr>
      <w:t xml:space="preserve">Raymond | McKesson Service Desk | SOC Analyst Lab Portfolio          Page </w:t>
    </w:r>
    <w:r>
      <w:rPr>
        <w:rFonts w:eastAsia="Arial" w:cs="Arial"/>
        <w:i/>
        <w:iCs/>
        <w:color w:val="595959"/>
      </w:rPr>
      <w:fldChar w:fldCharType="begin"/>
    </w:r>
    <w:r>
      <w:rPr>
        <w:rFonts w:eastAsia="Arial" w:cs="Arial"/>
        <w:i/>
        <w:iCs/>
        <w:color w:val="595959"/>
      </w:rPr>
      <w:instrText xml:space="preserve"> PAGE </w:instrText>
    </w:r>
    <w:r>
      <w:rPr>
        <w:rFonts w:eastAsia="Arial" w:cs="Arial"/>
        <w:i/>
        <w:iCs/>
        <w:color w:val="595959"/>
      </w:rPr>
      <w:fldChar w:fldCharType="separate"/>
    </w:r>
    <w:r>
      <w:rPr>
        <w:rFonts w:eastAsia="Arial" w:cs="Arial"/>
        <w:i/>
        <w:iCs/>
        <w:color w:val="595959"/>
      </w:rPr>
      <w:t>3</w:t>
    </w:r>
    <w:r>
      <w:rPr>
        <w:rFonts w:eastAsia="Arial" w:cs="Arial"/>
        <w:i/>
        <w:iCs/>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95959"/>
        <w:sz w:val="16"/>
        <w:szCs w:val="16"/>
      </w:rPr>
      <w:t xml:space="preserve">Raymond | McKesson Service Desk | SOC Analyst Lab Portfolio          Page </w:t>
    </w:r>
    <w:r>
      <w:rPr>
        <w:rFonts w:eastAsia="Arial" w:cs="Arial"/>
        <w:i/>
        <w:iCs/>
        <w:color w:val="595959"/>
      </w:rPr>
      <w:fldChar w:fldCharType="begin"/>
    </w:r>
    <w:r>
      <w:rPr>
        <w:rFonts w:eastAsia="Arial" w:cs="Arial"/>
        <w:i/>
        <w:iCs/>
        <w:color w:val="595959"/>
      </w:rPr>
      <w:instrText xml:space="preserve"> PAGE </w:instrText>
    </w:r>
    <w:r>
      <w:rPr>
        <w:rFonts w:eastAsia="Arial" w:cs="Arial"/>
        <w:i/>
        <w:iCs/>
        <w:color w:val="595959"/>
      </w:rPr>
      <w:fldChar w:fldCharType="separate"/>
    </w:r>
    <w:r>
      <w:rPr>
        <w:rFonts w:eastAsia="Arial" w:cs="Arial"/>
        <w:i/>
        <w:iCs/>
        <w:color w:val="595959"/>
      </w:rPr>
      <w:t>3</w:t>
    </w:r>
    <w:r>
      <w:rPr>
        <w:rFonts w:eastAsia="Arial" w:cs="Arial"/>
        <w:i/>
        <w:iCs/>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rPr/>
    </w:pPr>
    <w:r>
      <w:rPr>
        <w:rFonts w:eastAsia="Arial" w:cs="Arial"/>
        <w:color w:val="595959"/>
        <w:sz w:val="16"/>
        <w:szCs w:val="16"/>
      </w:rPr>
      <w:t>DETECTION ENGINEERING — Rule 100023     |     Enterprise Security Home Lab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rPr/>
    </w:pPr>
    <w:r>
      <w:rPr>
        <w:rFonts w:eastAsia="Arial" w:cs="Arial"/>
        <w:color w:val="595959"/>
        <w:sz w:val="16"/>
        <w:szCs w:val="16"/>
      </w:rPr>
      <w:t>DETECTION ENGINEERING — Rule 100023     |     Enterprise Security Home Lab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120"/>
      <w:outlineLvl w:val="0"/>
    </w:pPr>
    <w:rPr>
      <w:rFonts w:ascii="Arial" w:hAnsi="Arial" w:eastAsia="Arial" w:cs="Arial"/>
      <w:b/>
      <w:bCs/>
      <w:color w:val="1F4E79"/>
      <w:sz w:val="28"/>
      <w:szCs w:val="28"/>
    </w:rPr>
  </w:style>
  <w:style w:type="paragraph" w:styleId="Heading2">
    <w:name w:val="heading 2"/>
    <w:basedOn w:val="Heading"/>
    <w:qFormat/>
    <w:pPr>
      <w:spacing w:before="160" w:after="10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2</Pages>
  <Words>963</Words>
  <Characters>5524</Characters>
  <CharactersWithSpaces>6501</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2026-06-27T18:40:35Z</dcterms:created>
  <dc:creator>Un-named</dc:creator>
  <dc:description/>
  <dc:language>en-US</dc:language>
  <cp:lastModifiedBy>Un-named</cp:lastModifiedBy>
  <dcterms:modified xsi:type="dcterms:W3CDTF">2026-06-27T18:40:35Z</dcterms:modified>
  <cp:revision>1</cp:revision>
  <dc:subject/>
  <dc:title/>
</cp:coreProperties>
</file>