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ptos" w:hAnsi="Aptos"/>
          <w:b/>
          <w:i w:val="0"/>
          <w:color w:val="961419"/>
          <w:sz w:val="32"/>
        </w:rPr>
        <w:t>1. SZÁMÚ MELLÉKLET</w:t>
      </w:r>
    </w:p>
    <w:p>
      <w:pPr>
        <w:spacing w:after="60"/>
        <w:jc w:val="center"/>
      </w:pPr>
      <w:r>
        <w:rPr>
          <w:rFonts w:ascii="Aptos" w:hAnsi="Aptos"/>
          <w:b/>
          <w:i w:val="0"/>
          <w:color w:val="141414"/>
          <w:sz w:val="40"/>
        </w:rPr>
        <w:t>EFU MŰSZAKI SPECIFIKÁCIÓ</w:t>
      </w:r>
    </w:p>
    <w:p>
      <w:pPr>
        <w:spacing w:after="360"/>
        <w:jc w:val="center"/>
      </w:pPr>
      <w:r>
        <w:rPr>
          <w:rFonts w:ascii="Aptos" w:hAnsi="Aptos"/>
          <w:b/>
          <w:i w:val="0"/>
          <w:color w:val="5A5A5A"/>
          <w:sz w:val="24"/>
        </w:rPr>
        <w:t>Műszaki rendszerterv és architektúra-leírás</w:t>
      </w:r>
    </w:p>
    <w:p>
      <w:pPr>
        <w:keepLines/>
        <w:spacing w:after="240" w:line="269" w:lineRule="auto"/>
      </w:pPr>
      <w:r>
        <w:rPr>
          <w:rFonts w:ascii="Aptos" w:hAnsi="Aptos"/>
          <w:b w:val="0"/>
          <w:i w:val="0"/>
          <w:color w:val="141414"/>
          <w:sz w:val="20"/>
        </w:rPr>
        <w:t>A jelen melléklet az Elite Fight Universe digitális platform fejlesztésére kötött vállalkozási szerződés elválaszthatatlan része. A melléklet a rendszer célját, funkcionális és nem funkcionális követelményeit, logikai felépítését, fő moduljait, integrációs elveit és műszaki átadási tartalmát rögzíti.</w:t>
      </w:r>
    </w:p>
    <w:p>
      <w:pPr>
        <w:pStyle w:val="Heading1"/>
        <w:keepNext/>
      </w:pPr>
      <w:r>
        <w:rPr>
          <w:rFonts w:ascii="Aptos" w:hAnsi="Aptos"/>
          <w:b/>
          <w:i w:val="0"/>
          <w:color w:val="961419"/>
          <w:sz w:val="26"/>
        </w:rPr>
        <w:t>1. Projektcél és alapelvek</w:t>
      </w:r>
    </w:p>
    <w:p>
      <w:pPr>
        <w:keepLines/>
        <w:spacing w:after="100" w:line="269" w:lineRule="auto"/>
      </w:pPr>
      <w:r>
        <w:rPr>
          <w:rFonts w:ascii="Aptos" w:hAnsi="Aptos"/>
          <w:b w:val="0"/>
          <w:i w:val="0"/>
          <w:color w:val="141414"/>
          <w:sz w:val="20"/>
        </w:rPr>
        <w:t>Az Elite Fight Universe (EFU) célja egy saját, hosszú távon bővíthető digitális ökoszisztéma létrehozása, amely egységes felületen támogatja az EFU márka bemutatását, az EFU Reality műsort, az EFU Fight Night eseményeket, a harcosok pályáját, az élő és visszanézhető audiovizuális tartalmakat, valamint a nézői közösség aktív részvételét.</w:t>
      </w:r>
    </w:p>
    <w:p>
      <w:pPr>
        <w:keepLines/>
        <w:spacing w:after="100" w:line="269" w:lineRule="auto"/>
      </w:pPr>
      <w:r>
        <w:rPr>
          <w:rFonts w:ascii="Aptos" w:hAnsi="Aptos"/>
          <w:b w:val="0"/>
          <w:i w:val="0"/>
          <w:color w:val="141414"/>
          <w:sz w:val="20"/>
        </w:rPr>
        <w:t>Az induló rendszer elsődleges üzleti célja az EFU Reality rajtjának támogatása, a nézői közösség felépítése, a harcosjelentkezések strukturált kezelése, az élő közvetítés elérhetővé tétele és az EFU hivatalos digitális jelenlétének megteremtése.</w:t>
      </w:r>
    </w:p>
    <w:p>
      <w:pPr>
        <w:pStyle w:val="SpecBullet"/>
        <w:ind w:left="369" w:hanging="198"/>
      </w:pPr>
      <w:r>
        <w:rPr>
          <w:rFonts w:ascii="Aptos" w:hAnsi="Aptos"/>
          <w:b/>
          <w:i w:val="0"/>
          <w:color w:val="961419"/>
          <w:sz w:val="20"/>
        </w:rPr>
        <w:t xml:space="preserve">• </w:t>
      </w:r>
      <w:r>
        <w:rPr>
          <w:rFonts w:ascii="Aptos" w:hAnsi="Aptos"/>
          <w:b w:val="0"/>
          <w:i w:val="0"/>
          <w:color w:val="141414"/>
          <w:sz w:val="20"/>
        </w:rPr>
        <w:t>Mobile-first működés: a felület elsődlegesen mobiltelefonon, ugyanakkor asztali és televíziós böngészőben is jól használható.</w:t>
      </w:r>
    </w:p>
    <w:p>
      <w:pPr>
        <w:pStyle w:val="SpecBullet"/>
        <w:ind w:left="369" w:hanging="198"/>
      </w:pPr>
      <w:r>
        <w:rPr>
          <w:rFonts w:ascii="Aptos" w:hAnsi="Aptos"/>
          <w:b/>
          <w:i w:val="0"/>
          <w:color w:val="961419"/>
          <w:sz w:val="20"/>
        </w:rPr>
        <w:t xml:space="preserve">• </w:t>
      </w:r>
      <w:r>
        <w:rPr>
          <w:rFonts w:ascii="Aptos" w:hAnsi="Aptos"/>
          <w:b w:val="0"/>
          <w:i w:val="0"/>
          <w:color w:val="141414"/>
          <w:sz w:val="20"/>
        </w:rPr>
        <w:t>Moduláris architektúra: az új EFU projektek és platformok a meglévő rendszer teljes újraírása nélkül kapcsolhatók be.</w:t>
      </w:r>
    </w:p>
    <w:p>
      <w:pPr>
        <w:pStyle w:val="SpecBullet"/>
        <w:ind w:left="369" w:hanging="198"/>
      </w:pPr>
      <w:r>
        <w:rPr>
          <w:rFonts w:ascii="Aptos" w:hAnsi="Aptos"/>
          <w:b/>
          <w:i w:val="0"/>
          <w:color w:val="961419"/>
          <w:sz w:val="20"/>
        </w:rPr>
        <w:t xml:space="preserve">• </w:t>
      </w:r>
      <w:r>
        <w:rPr>
          <w:rFonts w:ascii="Aptos" w:hAnsi="Aptos"/>
          <w:b w:val="0"/>
          <w:i w:val="0"/>
          <w:color w:val="141414"/>
          <w:sz w:val="20"/>
        </w:rPr>
        <w:t>Skálázhatóság: az induló rendszer legalább 3 000–5 000 egyidejű felhasználó kiszolgálására tervezett, felhőalapú bővíthetőséggel.</w:t>
      </w:r>
    </w:p>
    <w:p>
      <w:pPr>
        <w:pStyle w:val="SpecBullet"/>
        <w:ind w:left="369" w:hanging="198"/>
      </w:pPr>
      <w:r>
        <w:rPr>
          <w:rFonts w:ascii="Aptos" w:hAnsi="Aptos"/>
          <w:b/>
          <w:i w:val="0"/>
          <w:color w:val="961419"/>
          <w:sz w:val="20"/>
        </w:rPr>
        <w:t xml:space="preserve">• </w:t>
      </w:r>
      <w:r>
        <w:rPr>
          <w:rFonts w:ascii="Aptos" w:hAnsi="Aptos"/>
          <w:b w:val="0"/>
          <w:i w:val="0"/>
          <w:color w:val="141414"/>
          <w:sz w:val="20"/>
        </w:rPr>
        <w:t>Többnyelvűség: a tartalmak és navigáció nyelvi változatai központilag kezelhetők.</w:t>
      </w:r>
    </w:p>
    <w:p>
      <w:pPr>
        <w:pStyle w:val="SpecBullet"/>
        <w:ind w:left="369" w:hanging="198"/>
      </w:pPr>
      <w:r>
        <w:rPr>
          <w:rFonts w:ascii="Aptos" w:hAnsi="Aptos"/>
          <w:b/>
          <w:i w:val="0"/>
          <w:color w:val="961419"/>
          <w:sz w:val="20"/>
        </w:rPr>
        <w:t xml:space="preserve">• </w:t>
      </w:r>
      <w:r>
        <w:rPr>
          <w:rFonts w:ascii="Aptos" w:hAnsi="Aptos"/>
          <w:b w:val="0"/>
          <w:i w:val="0"/>
          <w:color w:val="141414"/>
          <w:sz w:val="20"/>
        </w:rPr>
        <w:t>Biztonság és adatvédelem: szerepköralapú hozzáférés, naplózhatóság és a személyes adatok célhoz kötött kezelése.</w:t>
      </w:r>
    </w:p>
    <w:p>
      <w:pPr>
        <w:pStyle w:val="SpecBullet"/>
        <w:ind w:left="369" w:hanging="198"/>
      </w:pPr>
      <w:r>
        <w:rPr>
          <w:rFonts w:ascii="Aptos" w:hAnsi="Aptos"/>
          <w:b/>
          <w:i w:val="0"/>
          <w:color w:val="961419"/>
          <w:sz w:val="20"/>
        </w:rPr>
        <w:t xml:space="preserve">• </w:t>
      </w:r>
      <w:r>
        <w:rPr>
          <w:rFonts w:ascii="Aptos" w:hAnsi="Aptos"/>
          <w:b w:val="0"/>
          <w:i w:val="0"/>
          <w:color w:val="141414"/>
          <w:sz w:val="20"/>
        </w:rPr>
        <w:t>Média- és közösségközpontúság: a videó, élő adás, szavazás, chat, értesítés és interakció a platform alapvető képessége.</w:t>
      </w:r>
    </w:p>
    <w:p>
      <w:pPr>
        <w:pStyle w:val="SpecBullet"/>
        <w:ind w:left="369" w:hanging="198"/>
      </w:pPr>
      <w:r>
        <w:rPr>
          <w:rFonts w:ascii="Aptos" w:hAnsi="Aptos"/>
          <w:b/>
          <w:i w:val="0"/>
          <w:color w:val="961419"/>
          <w:sz w:val="20"/>
        </w:rPr>
        <w:t xml:space="preserve">• </w:t>
      </w:r>
      <w:r>
        <w:rPr>
          <w:rFonts w:ascii="Aptos" w:hAnsi="Aptos"/>
          <w:b w:val="0"/>
          <w:i w:val="0"/>
          <w:color w:val="141414"/>
          <w:sz w:val="20"/>
        </w:rPr>
        <w:t>Jövőbeli bővíthetőség: az EFU TV, az EFU Credit, a gamifikáció, a további EFU projektek és a nemzetközi terjeszkedés későbbi modulokként kapcsolhatók a közös ökoszisztémához.</w:t>
      </w:r>
    </w:p>
    <w:p>
      <w:pPr>
        <w:pStyle w:val="Heading1"/>
        <w:keepNext/>
      </w:pPr>
      <w:r>
        <w:rPr>
          <w:rFonts w:ascii="Aptos" w:hAnsi="Aptos"/>
          <w:b/>
          <w:i w:val="0"/>
          <w:color w:val="961419"/>
          <w:sz w:val="26"/>
        </w:rPr>
        <w:t>2. Rendszerarchitektúra</w:t>
      </w:r>
    </w:p>
    <w:p>
      <w:pPr>
        <w:pStyle w:val="Heading2"/>
        <w:keepNext/>
      </w:pPr>
      <w:r>
        <w:rPr>
          <w:rFonts w:ascii="Aptos" w:hAnsi="Aptos"/>
          <w:b/>
          <w:i w:val="0"/>
          <w:color w:val="2D2D2D"/>
          <w:sz w:val="22"/>
        </w:rPr>
        <w:t>2.1. Prezentációs réteg – publikus webalkalmazás</w:t>
      </w:r>
    </w:p>
    <w:tbl>
      <w:tblPr>
        <w:tblStyle w:val="TableGrid"/>
        <w:tblW w:type="dxa" w:w="9467"/>
        <w:jc w:val="center"/>
        <w:tblLayout w:type="fixed"/>
        <w:tblLook w:firstColumn="1" w:firstRow="1" w:lastColumn="0" w:lastRow="0" w:noHBand="0" w:noVBand="1" w:val="04A0"/>
      </w:tblPr>
      <w:tblGrid>
        <w:gridCol w:w="4734"/>
        <w:gridCol w:w="4734"/>
      </w:tblGrid>
      <w:tr>
        <w:trPr>
          <w:cantSplit/>
        </w:trPr>
        <w:tc>
          <w:tcPr>
            <w:tcW w:type="dxa" w:w="2267"/>
            <w:shd w:fill="EDEDED"/>
            <w:tcMar>
              <w:top w:w="110" w:type="dxa"/>
              <w:start w:w="120" w:type="dxa"/>
              <w:bottom w:w="110" w:type="dxa"/>
              <w:end w:w="120" w:type="dxa"/>
            </w:tcMar>
            <w:vAlign w:val="center"/>
          </w:tcPr>
          <w:p>
            <w:pPr>
              <w:spacing w:after="0"/>
            </w:pPr>
            <w:r/>
            <w:r>
              <w:rPr>
                <w:rFonts w:ascii="Aptos" w:hAnsi="Aptos"/>
                <w:b/>
                <w:i w:val="0"/>
                <w:color w:val="961419"/>
                <w:sz w:val="18"/>
              </w:rPr>
              <w:t>Terület</w:t>
            </w:r>
          </w:p>
        </w:tc>
        <w:tc>
          <w:tcPr>
            <w:tcW w:type="dxa" w:w="7200"/>
            <w:shd w:fill="EDEDED"/>
            <w:tcMar>
              <w:top w:w="110" w:type="dxa"/>
              <w:start w:w="120" w:type="dxa"/>
              <w:bottom w:w="110" w:type="dxa"/>
              <w:end w:w="120" w:type="dxa"/>
            </w:tcMar>
            <w:vAlign w:val="center"/>
          </w:tcPr>
          <w:p>
            <w:pPr>
              <w:spacing w:after="0"/>
            </w:pPr>
            <w:r/>
            <w:r>
              <w:rPr>
                <w:rFonts w:ascii="Aptos" w:hAnsi="Aptos"/>
                <w:b/>
                <w:i w:val="0"/>
                <w:color w:val="961419"/>
                <w:sz w:val="18"/>
              </w:rPr>
              <w:t>Műszaki elv</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Felületi kialakítás</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Reszponzív, mobile-first, modern komponensalapú megjelenítés; prémium sport- és médiamárkához illeszkedő kezelőfelület.</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Oldalgenerálás</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SEO-képes szerveroldali vagy előre generált publikus oldalak; dinamikus elemek kliensoldali frissítéssel.</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Arculat</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Fekete, fehér és piros dominancia; ezüst, arany, kék vagy türkiz kiegészítő színek; egyedi geometrikus vizuális rendszer.</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Akadálymentesség</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Billentyűzetes használhatóság, megfelelő kontrasztok, szemantikus szerkezet, képi alternatív szövegek.</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Közösségi megosztás</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Oldalanként beállítható cím, leírás, előnézeti kép és közösségi metaadatok.</w:t>
            </w:r>
          </w:p>
        </w:tc>
      </w:tr>
    </w:tbl>
    <w:p>
      <w:pPr>
        <w:spacing w:after="20"/>
      </w:pPr>
    </w:p>
    <w:p>
      <w:pPr>
        <w:pStyle w:val="Heading2"/>
        <w:keepNext/>
      </w:pPr>
      <w:r>
        <w:rPr>
          <w:rFonts w:ascii="Aptos" w:hAnsi="Aptos"/>
          <w:b/>
          <w:i w:val="0"/>
          <w:color w:val="2D2D2D"/>
          <w:sz w:val="22"/>
        </w:rPr>
        <w:t>2.2. Alkalmazási és szolgáltatási réteg</w:t>
      </w:r>
    </w:p>
    <w:p>
      <w:pPr>
        <w:keepLines/>
        <w:spacing w:after="100" w:line="269" w:lineRule="auto"/>
      </w:pPr>
      <w:r>
        <w:rPr>
          <w:rFonts w:ascii="Aptos" w:hAnsi="Aptos"/>
          <w:b w:val="0"/>
          <w:i w:val="0"/>
          <w:color w:val="141414"/>
          <w:sz w:val="20"/>
        </w:rPr>
        <w:t>A kiszolgálóoldali réteg API-alapú, moduláris szolgáltatásokat biztosít a felhasználói azonosításhoz, jelentkezésekhez, előfizetésekhez, tartalomkezeléshez, élő adásokhoz, szavazásokhoz, interakciókhoz, értesítésekhez, statisztikákhoz és jogosultságkezeléshez. A modulok közötti kommunikáció dokumentált interfészeken történik.</w:t>
      </w:r>
    </w:p>
    <w:p>
      <w:pPr>
        <w:pStyle w:val="Heading2"/>
        <w:keepNext/>
      </w:pPr>
      <w:r>
        <w:rPr>
          <w:rFonts w:ascii="Aptos" w:hAnsi="Aptos"/>
          <w:b/>
          <w:i w:val="0"/>
          <w:color w:val="2D2D2D"/>
          <w:sz w:val="22"/>
        </w:rPr>
        <w:t>2.3. Adat- és médiaréteg</w:t>
      </w:r>
    </w:p>
    <w:p>
      <w:pPr>
        <w:pStyle w:val="SpecBullet"/>
        <w:ind w:left="369" w:hanging="198"/>
      </w:pPr>
      <w:r>
        <w:rPr>
          <w:rFonts w:ascii="Aptos" w:hAnsi="Aptos"/>
          <w:b/>
          <w:i w:val="0"/>
          <w:color w:val="961419"/>
          <w:sz w:val="20"/>
        </w:rPr>
        <w:t xml:space="preserve">• </w:t>
      </w:r>
      <w:r>
        <w:rPr>
          <w:rFonts w:ascii="Aptos" w:hAnsi="Aptos"/>
          <w:b w:val="0"/>
          <w:i w:val="0"/>
          <w:color w:val="141414"/>
          <w:sz w:val="20"/>
        </w:rPr>
        <w:t>Strukturált adatbázis a felhasználók, jogosultságok, harcosok, jelentkezések, események, tartalmak, előfizetések, szavazások és naplóbejegyzések számára.</w:t>
      </w:r>
    </w:p>
    <w:p>
      <w:pPr>
        <w:pStyle w:val="SpecBullet"/>
        <w:ind w:left="369" w:hanging="198"/>
      </w:pPr>
      <w:r>
        <w:rPr>
          <w:rFonts w:ascii="Aptos" w:hAnsi="Aptos"/>
          <w:b/>
          <w:i w:val="0"/>
          <w:color w:val="961419"/>
          <w:sz w:val="20"/>
        </w:rPr>
        <w:t xml:space="preserve">• </w:t>
      </w:r>
      <w:r>
        <w:rPr>
          <w:rFonts w:ascii="Aptos" w:hAnsi="Aptos"/>
          <w:b w:val="0"/>
          <w:i w:val="0"/>
          <w:color w:val="141414"/>
          <w:sz w:val="20"/>
        </w:rPr>
        <w:t>Objektumtár vagy dedikált médiatároló a képek, videók, előzetesek és kapcsolódó fájlok számára.</w:t>
      </w:r>
    </w:p>
    <w:p>
      <w:pPr>
        <w:pStyle w:val="SpecBullet"/>
        <w:ind w:left="369" w:hanging="198"/>
      </w:pPr>
      <w:r>
        <w:rPr>
          <w:rFonts w:ascii="Aptos" w:hAnsi="Aptos"/>
          <w:b/>
          <w:i w:val="0"/>
          <w:color w:val="961419"/>
          <w:sz w:val="20"/>
        </w:rPr>
        <w:t xml:space="preserve">• </w:t>
      </w:r>
      <w:r>
        <w:rPr>
          <w:rFonts w:ascii="Aptos" w:hAnsi="Aptos"/>
          <w:b w:val="0"/>
          <w:i w:val="0"/>
          <w:color w:val="141414"/>
          <w:sz w:val="20"/>
        </w:rPr>
        <w:t>Külön közvetítési infrastruktúra az élő és archivált videók továbbításához, adaptív minőségi szintekkel.</w:t>
      </w:r>
    </w:p>
    <w:p>
      <w:pPr>
        <w:pStyle w:val="SpecBullet"/>
        <w:ind w:left="369" w:hanging="198"/>
      </w:pPr>
      <w:r>
        <w:rPr>
          <w:rFonts w:ascii="Aptos" w:hAnsi="Aptos"/>
          <w:b/>
          <w:i w:val="0"/>
          <w:color w:val="961419"/>
          <w:sz w:val="20"/>
        </w:rPr>
        <w:t xml:space="preserve">• </w:t>
      </w:r>
      <w:r>
        <w:rPr>
          <w:rFonts w:ascii="Aptos" w:hAnsi="Aptos"/>
          <w:b w:val="0"/>
          <w:i w:val="0"/>
          <w:color w:val="141414"/>
          <w:sz w:val="20"/>
        </w:rPr>
        <w:t>Gyorsítótárazási és tartalomelosztási lehetőség a földrajzilag eltérő nézők hatékony kiszolgálásához.</w:t>
      </w:r>
    </w:p>
    <w:p>
      <w:pPr>
        <w:pStyle w:val="Heading2"/>
        <w:keepNext/>
      </w:pPr>
      <w:r>
        <w:rPr>
          <w:rFonts w:ascii="Aptos" w:hAnsi="Aptos"/>
          <w:b/>
          <w:i w:val="0"/>
          <w:color w:val="2D2D2D"/>
          <w:sz w:val="22"/>
        </w:rPr>
        <w:t>2.4. Üzemeltetési réteg</w:t>
      </w:r>
    </w:p>
    <w:p>
      <w:pPr>
        <w:pStyle w:val="SpecBullet"/>
        <w:ind w:left="369" w:hanging="198"/>
      </w:pPr>
      <w:r>
        <w:rPr>
          <w:rFonts w:ascii="Aptos" w:hAnsi="Aptos"/>
          <w:b/>
          <w:i w:val="0"/>
          <w:color w:val="961419"/>
          <w:sz w:val="20"/>
        </w:rPr>
        <w:t xml:space="preserve">• </w:t>
      </w:r>
      <w:r>
        <w:rPr>
          <w:rFonts w:ascii="Aptos" w:hAnsi="Aptos"/>
          <w:b w:val="0"/>
          <w:i w:val="0"/>
          <w:color w:val="141414"/>
          <w:sz w:val="20"/>
        </w:rPr>
        <w:t>Elkülönített fejlesztési, tesztelési (staging) és éles környezet.</w:t>
      </w:r>
    </w:p>
    <w:p>
      <w:pPr>
        <w:pStyle w:val="SpecBullet"/>
        <w:ind w:left="369" w:hanging="198"/>
      </w:pPr>
      <w:r>
        <w:rPr>
          <w:rFonts w:ascii="Aptos" w:hAnsi="Aptos"/>
          <w:b/>
          <w:i w:val="0"/>
          <w:color w:val="961419"/>
          <w:sz w:val="20"/>
        </w:rPr>
        <w:t xml:space="preserve">• </w:t>
      </w:r>
      <w:r>
        <w:rPr>
          <w:rFonts w:ascii="Aptos" w:hAnsi="Aptos"/>
          <w:b w:val="0"/>
          <w:i w:val="0"/>
          <w:color w:val="141414"/>
          <w:sz w:val="20"/>
        </w:rPr>
        <w:t>Titkos konfigurációs adatok környezeti változókban vagy erre szolgáló kulcstárban.</w:t>
      </w:r>
    </w:p>
    <w:p>
      <w:pPr>
        <w:pStyle w:val="SpecBullet"/>
        <w:ind w:left="369" w:hanging="198"/>
      </w:pPr>
      <w:r>
        <w:rPr>
          <w:rFonts w:ascii="Aptos" w:hAnsi="Aptos"/>
          <w:b/>
          <w:i w:val="0"/>
          <w:color w:val="961419"/>
          <w:sz w:val="20"/>
        </w:rPr>
        <w:t xml:space="preserve">• </w:t>
      </w:r>
      <w:r>
        <w:rPr>
          <w:rFonts w:ascii="Aptos" w:hAnsi="Aptos"/>
          <w:b w:val="0"/>
          <w:i w:val="0"/>
          <w:color w:val="141414"/>
          <w:sz w:val="20"/>
        </w:rPr>
        <w:t>Automatizálható telepítés, verziózott forráskód és visszaállítható kiadási folyamat.</w:t>
      </w:r>
    </w:p>
    <w:p>
      <w:pPr>
        <w:pStyle w:val="SpecBullet"/>
        <w:ind w:left="369" w:hanging="198"/>
      </w:pPr>
      <w:r>
        <w:rPr>
          <w:rFonts w:ascii="Aptos" w:hAnsi="Aptos"/>
          <w:b/>
          <w:i w:val="0"/>
          <w:color w:val="961419"/>
          <w:sz w:val="20"/>
        </w:rPr>
        <w:t xml:space="preserve">• </w:t>
      </w:r>
      <w:r>
        <w:rPr>
          <w:rFonts w:ascii="Aptos" w:hAnsi="Aptos"/>
          <w:b w:val="0"/>
          <w:i w:val="0"/>
          <w:color w:val="141414"/>
          <w:sz w:val="20"/>
        </w:rPr>
        <w:t>Rendszer-, alkalmazás- és biztonsági naplók; alapvető rendelkezésreállási és hibajelzési monitorozás.</w:t>
      </w:r>
    </w:p>
    <w:p>
      <w:pPr>
        <w:pStyle w:val="Heading2"/>
        <w:keepNext/>
      </w:pPr>
      <w:r>
        <w:rPr>
          <w:rFonts w:ascii="Aptos" w:hAnsi="Aptos"/>
          <w:b/>
          <w:i w:val="0"/>
          <w:color w:val="2D2D2D"/>
          <w:sz w:val="22"/>
        </w:rPr>
        <w:t>2.5. Technológiai adatlap</w:t>
      </w:r>
    </w:p>
    <w:p>
      <w:pPr>
        <w:keepLines/>
        <w:spacing w:after="100" w:line="269" w:lineRule="auto"/>
      </w:pPr>
      <w:r>
        <w:rPr>
          <w:rFonts w:ascii="Aptos" w:hAnsi="Aptos"/>
          <w:b w:val="0"/>
          <w:i w:val="0"/>
          <w:color w:val="141414"/>
          <w:sz w:val="20"/>
        </w:rPr>
        <w:t>A konkrét frontend-, backend-, adatbázis-, tárhely-, streaming-, fizetési és értesítési technológiát Vállalkozó a projektindításkor írásbeli technológiai adatlapon rögzíti. Az adatlap tartalmazza legalább a termék vagy keretrendszer nevét, verzióját, licencét, üzemeltetési helyét, várható külső díját és cserélhetőségének feltételeit. A technológiai adatlap Megrendelő írásbeli jóváhagyásával válik a műszaki dokumentáció részévé. A választott technológia nem csökkentheti a jelen mellékletben rögzített funkcionális, biztonsági, skálázhatósági és jogátruházási követelményeket.</w:t>
      </w:r>
    </w:p>
    <w:p>
      <w:pPr>
        <w:pStyle w:val="Heading1"/>
        <w:keepNext/>
      </w:pPr>
      <w:r>
        <w:rPr>
          <w:rFonts w:ascii="Aptos" w:hAnsi="Aptos"/>
          <w:b/>
          <w:i w:val="0"/>
          <w:color w:val="961419"/>
          <w:sz w:val="26"/>
        </w:rPr>
        <w:t>3. Publikus weboldal és tartalmi modulok</w:t>
      </w:r>
    </w:p>
    <w:tbl>
      <w:tblPr>
        <w:tblStyle w:val="TableGrid"/>
        <w:tblW w:type="dxa" w:w="9467"/>
        <w:jc w:val="center"/>
        <w:tblLayout w:type="fixed"/>
        <w:tblLook w:firstColumn="1" w:firstRow="1" w:lastColumn="0" w:lastRow="0" w:noHBand="0" w:noVBand="1" w:val="04A0"/>
      </w:tblPr>
      <w:tblGrid>
        <w:gridCol w:w="4734"/>
        <w:gridCol w:w="4734"/>
      </w:tblGrid>
      <w:tr>
        <w:trPr>
          <w:cantSplit/>
        </w:trPr>
        <w:tc>
          <w:tcPr>
            <w:tcW w:type="dxa" w:w="2267"/>
            <w:shd w:fill="EDEDED"/>
            <w:tcMar>
              <w:top w:w="110" w:type="dxa"/>
              <w:start w:w="120" w:type="dxa"/>
              <w:bottom w:w="110" w:type="dxa"/>
              <w:end w:w="120" w:type="dxa"/>
            </w:tcMar>
            <w:vAlign w:val="center"/>
          </w:tcPr>
          <w:p>
            <w:pPr>
              <w:spacing w:after="0"/>
            </w:pPr>
            <w:r/>
            <w:r>
              <w:rPr>
                <w:rFonts w:ascii="Aptos" w:hAnsi="Aptos"/>
                <w:b/>
                <w:i w:val="0"/>
                <w:color w:val="961419"/>
                <w:sz w:val="18"/>
              </w:rPr>
              <w:t>Modul</w:t>
            </w:r>
          </w:p>
        </w:tc>
        <w:tc>
          <w:tcPr>
            <w:tcW w:type="dxa" w:w="7200"/>
            <w:shd w:fill="EDEDED"/>
            <w:tcMar>
              <w:top w:w="110" w:type="dxa"/>
              <w:start w:w="120" w:type="dxa"/>
              <w:bottom w:w="110" w:type="dxa"/>
              <w:end w:w="120" w:type="dxa"/>
            </w:tcMar>
            <w:vAlign w:val="center"/>
          </w:tcPr>
          <w:p>
            <w:pPr>
              <w:spacing w:after="0"/>
            </w:pPr>
            <w:r/>
            <w:r>
              <w:rPr>
                <w:rFonts w:ascii="Aptos" w:hAnsi="Aptos"/>
                <w:b/>
                <w:i w:val="0"/>
                <w:color w:val="961419"/>
                <w:sz w:val="18"/>
              </w:rPr>
              <w:t>Kötelező tartalom és működés</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Főoldal</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Animált EFU logó, hero videó, beágyazott videótartalom, visszaszámláló, kiemelt cselekvési gombok és közösségi csatornák.</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Rólunk / Mi az EFU?</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Az EFU anyamárka, az EFU Reality → EFU Fight Night → professzionális harcoskarrier fejlődési út és az ökoszisztéma bemutatása.</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EFU Reality</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A műsor, helyszín, szabályok, mentorok, versenyzők, epizódok és kapcsolódó médiatartalmak bemutatása.</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EFU Fight Night</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Eseményoldalak, Fight Card, szabályok, eredmények, jegyinformációk és archív események.</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Harcosok</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Fénykép, bemutatkozás, történet, EFU-életút, mérleg, videók és kapcsolódó események.</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Hírek és média</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Hírek, videók, fotók, interjúk, kulisszák mögötti tartalmak, kategóriák és időzített publikálás.</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Szponzorok</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Szponzori megjelenések, együttműködési lehetőségek, Reality- és Fight Night-integrációk.</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Kapcsolat és jogi oldalak</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Kapcsolati adatok, impresszum, adatkezelési tájékoztató, általános feltételek, cookie-kezelés és tematikus szabályzatok.</w:t>
            </w:r>
          </w:p>
        </w:tc>
      </w:tr>
    </w:tbl>
    <w:p>
      <w:pPr>
        <w:spacing w:after="20"/>
      </w:pPr>
    </w:p>
    <w:p>
      <w:pPr>
        <w:pStyle w:val="Heading2"/>
        <w:keepNext/>
      </w:pPr>
      <w:r>
        <w:rPr>
          <w:rFonts w:ascii="Aptos" w:hAnsi="Aptos"/>
          <w:b/>
          <w:i w:val="0"/>
          <w:color w:val="2D2D2D"/>
          <w:sz w:val="22"/>
        </w:rPr>
        <w:t>3.1. Megvalósítási szintek az I–II. fázisban</w:t>
      </w:r>
    </w:p>
    <w:tbl>
      <w:tblPr>
        <w:tblStyle w:val="TableGrid"/>
        <w:tblW w:type="dxa" w:w="9467"/>
        <w:jc w:val="center"/>
        <w:tblLayout w:type="fixed"/>
        <w:tblLook w:firstColumn="1" w:firstRow="1" w:lastColumn="0" w:lastRow="0" w:noHBand="0" w:noVBand="1" w:val="04A0"/>
      </w:tblPr>
      <w:tblGrid>
        <w:gridCol w:w="4734"/>
        <w:gridCol w:w="4734"/>
      </w:tblGrid>
      <w:tr>
        <w:trPr>
          <w:cantSplit/>
        </w:trPr>
        <w:tc>
          <w:tcPr>
            <w:tcW w:type="dxa" w:w="2834"/>
            <w:shd w:fill="EDEDED"/>
            <w:tcMar>
              <w:top w:w="110" w:type="dxa"/>
              <w:start w:w="120" w:type="dxa"/>
              <w:bottom w:w="110" w:type="dxa"/>
              <w:end w:w="120" w:type="dxa"/>
            </w:tcMar>
            <w:vAlign w:val="center"/>
          </w:tcPr>
          <w:p>
            <w:pPr>
              <w:spacing w:after="0"/>
            </w:pPr>
            <w:r/>
            <w:r>
              <w:rPr>
                <w:rFonts w:ascii="Aptos" w:hAnsi="Aptos"/>
                <w:b/>
                <w:i w:val="0"/>
                <w:color w:val="961419"/>
                <w:sz w:val="18"/>
              </w:rPr>
              <w:t>Funkciócsoport</w:t>
            </w:r>
          </w:p>
        </w:tc>
        <w:tc>
          <w:tcPr>
            <w:tcW w:type="dxa" w:w="6633"/>
            <w:shd w:fill="EDEDED"/>
            <w:tcMar>
              <w:top w:w="110" w:type="dxa"/>
              <w:start w:w="120" w:type="dxa"/>
              <w:bottom w:w="110" w:type="dxa"/>
              <w:end w:w="120" w:type="dxa"/>
            </w:tcMar>
            <w:vAlign w:val="center"/>
          </w:tcPr>
          <w:p>
            <w:pPr>
              <w:spacing w:after="0"/>
            </w:pPr>
            <w:r/>
            <w:r>
              <w:rPr>
                <w:rFonts w:ascii="Aptos" w:hAnsi="Aptos"/>
                <w:b/>
                <w:i w:val="0"/>
                <w:color w:val="961419"/>
                <w:sz w:val="18"/>
              </w:rPr>
              <w:t>Vállalt megvalósítási szint</w:t>
            </w:r>
          </w:p>
        </w:tc>
      </w:tr>
      <w:tr>
        <w:trPr>
          <w:cantSplit/>
        </w:trPr>
        <w:tc>
          <w:tcPr>
            <w:tcW w:type="dxa" w:w="2834"/>
            <w:tcMar>
              <w:top w:w="90" w:type="dxa"/>
              <w:start w:w="120" w:type="dxa"/>
              <w:bottom w:w="90" w:type="dxa"/>
              <w:end w:w="120" w:type="dxa"/>
            </w:tcMar>
            <w:vAlign w:val="center"/>
          </w:tcPr>
          <w:p>
            <w:pPr>
              <w:spacing w:after="0" w:line="252" w:lineRule="auto"/>
            </w:pPr>
            <w:r/>
            <w:r>
              <w:rPr>
                <w:rFonts w:ascii="Aptos" w:hAnsi="Aptos"/>
                <w:b/>
                <w:i w:val="0"/>
                <w:color w:val="141414"/>
                <w:sz w:val="18"/>
              </w:rPr>
              <w:t>Publikus weboldal és tartalomkezelés</w:t>
            </w:r>
          </w:p>
        </w:tc>
        <w:tc>
          <w:tcPr>
            <w:tcW w:type="dxa" w:w="6633"/>
            <w:tcMar>
              <w:top w:w="90" w:type="dxa"/>
              <w:start w:w="120" w:type="dxa"/>
              <w:bottom w:w="90" w:type="dxa"/>
              <w:end w:w="120" w:type="dxa"/>
            </w:tcMar>
            <w:vAlign w:val="center"/>
          </w:tcPr>
          <w:p>
            <w:pPr>
              <w:spacing w:after="0" w:line="252" w:lineRule="auto"/>
            </w:pPr>
            <w:r/>
            <w:r>
              <w:rPr>
                <w:rFonts w:ascii="Aptos" w:hAnsi="Aptos"/>
                <w:b w:val="0"/>
                <w:i w:val="0"/>
                <w:color w:val="141414"/>
                <w:sz w:val="18"/>
              </w:rPr>
              <w:t>Teljesen működő, éles használatra átadott funkció a jóváhagyott tartalmakkal.</w:t>
            </w:r>
          </w:p>
        </w:tc>
      </w:tr>
      <w:tr>
        <w:trPr>
          <w:cantSplit/>
        </w:trPr>
        <w:tc>
          <w:tcPr>
            <w:tcW w:type="dxa" w:w="2834"/>
            <w:tcMar>
              <w:top w:w="90" w:type="dxa"/>
              <w:start w:w="120" w:type="dxa"/>
              <w:bottom w:w="90" w:type="dxa"/>
              <w:end w:w="120" w:type="dxa"/>
            </w:tcMar>
            <w:vAlign w:val="center"/>
          </w:tcPr>
          <w:p>
            <w:pPr>
              <w:spacing w:after="0" w:line="252" w:lineRule="auto"/>
            </w:pPr>
            <w:r/>
            <w:r>
              <w:rPr>
                <w:rFonts w:ascii="Aptos" w:hAnsi="Aptos"/>
                <w:b/>
                <w:i w:val="0"/>
                <w:color w:val="141414"/>
                <w:sz w:val="18"/>
              </w:rPr>
              <w:t>Felhasználói fiók és harcosjelentkezés</w:t>
            </w:r>
          </w:p>
        </w:tc>
        <w:tc>
          <w:tcPr>
            <w:tcW w:type="dxa" w:w="6633"/>
            <w:tcMar>
              <w:top w:w="90" w:type="dxa"/>
              <w:start w:w="120" w:type="dxa"/>
              <w:bottom w:w="90" w:type="dxa"/>
              <w:end w:w="120" w:type="dxa"/>
            </w:tcMar>
            <w:vAlign w:val="center"/>
          </w:tcPr>
          <w:p>
            <w:pPr>
              <w:spacing w:after="0" w:line="252" w:lineRule="auto"/>
            </w:pPr>
            <w:r/>
            <w:r>
              <w:rPr>
                <w:rFonts w:ascii="Aptos" w:hAnsi="Aptos"/>
                <w:b w:val="0"/>
                <w:i w:val="0"/>
                <w:color w:val="141414"/>
                <w:sz w:val="18"/>
              </w:rPr>
              <w:t>Teljesen működő alapfolyamat, jogosultság- és adatkezelési mezőkkel.</w:t>
            </w:r>
          </w:p>
        </w:tc>
      </w:tr>
      <w:tr>
        <w:trPr>
          <w:cantSplit/>
        </w:trPr>
        <w:tc>
          <w:tcPr>
            <w:tcW w:type="dxa" w:w="2834"/>
            <w:tcMar>
              <w:top w:w="90" w:type="dxa"/>
              <w:start w:w="120" w:type="dxa"/>
              <w:bottom w:w="90" w:type="dxa"/>
              <w:end w:w="120" w:type="dxa"/>
            </w:tcMar>
            <w:vAlign w:val="center"/>
          </w:tcPr>
          <w:p>
            <w:pPr>
              <w:spacing w:after="0" w:line="252" w:lineRule="auto"/>
            </w:pPr>
            <w:r/>
            <w:r>
              <w:rPr>
                <w:rFonts w:ascii="Aptos" w:hAnsi="Aptos"/>
                <w:b/>
                <w:i w:val="0"/>
                <w:color w:val="141414"/>
                <w:sz w:val="18"/>
              </w:rPr>
              <w:t>Streaming</w:t>
            </w:r>
          </w:p>
        </w:tc>
        <w:tc>
          <w:tcPr>
            <w:tcW w:type="dxa" w:w="6633"/>
            <w:tcMar>
              <w:top w:w="90" w:type="dxa"/>
              <w:start w:w="120" w:type="dxa"/>
              <w:bottom w:w="90" w:type="dxa"/>
              <w:end w:w="120" w:type="dxa"/>
            </w:tcMar>
            <w:vAlign w:val="center"/>
          </w:tcPr>
          <w:p>
            <w:pPr>
              <w:spacing w:after="0" w:line="252" w:lineRule="auto"/>
            </w:pPr>
            <w:r/>
            <w:r>
              <w:rPr>
                <w:rFonts w:ascii="Aptos" w:hAnsi="Aptos"/>
                <w:b w:val="0"/>
                <w:i w:val="0"/>
                <w:color w:val="141414"/>
                <w:sz w:val="18"/>
              </w:rPr>
              <w:t>Külső vagy Megrendelő által biztosított streaming szolgáltatás beágyazása és jogosultsághoz kötése; saját videóelosztó hálózat fejlesztése nem része a díjnak.</w:t>
            </w:r>
          </w:p>
        </w:tc>
      </w:tr>
      <w:tr>
        <w:trPr>
          <w:cantSplit/>
        </w:trPr>
        <w:tc>
          <w:tcPr>
            <w:tcW w:type="dxa" w:w="2834"/>
            <w:tcMar>
              <w:top w:w="90" w:type="dxa"/>
              <w:start w:w="120" w:type="dxa"/>
              <w:bottom w:w="90" w:type="dxa"/>
              <w:end w:w="120" w:type="dxa"/>
            </w:tcMar>
            <w:vAlign w:val="center"/>
          </w:tcPr>
          <w:p>
            <w:pPr>
              <w:spacing w:after="0" w:line="252" w:lineRule="auto"/>
            </w:pPr>
            <w:r/>
            <w:r>
              <w:rPr>
                <w:rFonts w:ascii="Aptos" w:hAnsi="Aptos"/>
                <w:b/>
                <w:i w:val="0"/>
                <w:color w:val="141414"/>
                <w:sz w:val="18"/>
              </w:rPr>
              <w:t>Fizetés és előfizetés</w:t>
            </w:r>
          </w:p>
        </w:tc>
        <w:tc>
          <w:tcPr>
            <w:tcW w:type="dxa" w:w="6633"/>
            <w:tcMar>
              <w:top w:w="90" w:type="dxa"/>
              <w:start w:w="120" w:type="dxa"/>
              <w:bottom w:w="90" w:type="dxa"/>
              <w:end w:w="120" w:type="dxa"/>
            </w:tcMar>
            <w:vAlign w:val="center"/>
          </w:tcPr>
          <w:p>
            <w:pPr>
              <w:spacing w:after="0" w:line="252" w:lineRule="auto"/>
            </w:pPr>
            <w:r/>
            <w:r>
              <w:rPr>
                <w:rFonts w:ascii="Aptos" w:hAnsi="Aptos"/>
                <w:b w:val="0"/>
                <w:i w:val="0"/>
                <w:color w:val="141414"/>
                <w:sz w:val="18"/>
              </w:rPr>
              <w:t>Egy jóváhagyott külső fizetési szolgáltató teszt- és éles integrációja; pénzügyi szolgáltatás nyújtása nem része a feladatnak.</w:t>
            </w:r>
          </w:p>
        </w:tc>
      </w:tr>
      <w:tr>
        <w:trPr>
          <w:cantSplit/>
        </w:trPr>
        <w:tc>
          <w:tcPr>
            <w:tcW w:type="dxa" w:w="2834"/>
            <w:tcMar>
              <w:top w:w="90" w:type="dxa"/>
              <w:start w:w="120" w:type="dxa"/>
              <w:bottom w:w="90" w:type="dxa"/>
              <w:end w:w="120" w:type="dxa"/>
            </w:tcMar>
            <w:vAlign w:val="center"/>
          </w:tcPr>
          <w:p>
            <w:pPr>
              <w:spacing w:after="0" w:line="252" w:lineRule="auto"/>
            </w:pPr>
            <w:r/>
            <w:r>
              <w:rPr>
                <w:rFonts w:ascii="Aptos" w:hAnsi="Aptos"/>
                <w:b/>
                <w:i w:val="0"/>
                <w:color w:val="141414"/>
                <w:sz w:val="18"/>
              </w:rPr>
              <w:t>Többnyelvűség</w:t>
            </w:r>
          </w:p>
        </w:tc>
        <w:tc>
          <w:tcPr>
            <w:tcW w:type="dxa" w:w="6633"/>
            <w:tcMar>
              <w:top w:w="90" w:type="dxa"/>
              <w:start w:w="120" w:type="dxa"/>
              <w:bottom w:w="90" w:type="dxa"/>
              <w:end w:w="120" w:type="dxa"/>
            </w:tcMar>
            <w:vAlign w:val="center"/>
          </w:tcPr>
          <w:p>
            <w:pPr>
              <w:spacing w:after="0" w:line="252" w:lineRule="auto"/>
            </w:pPr>
            <w:r/>
            <w:r>
              <w:rPr>
                <w:rFonts w:ascii="Aptos" w:hAnsi="Aptos"/>
                <w:b w:val="0"/>
                <w:i w:val="0"/>
                <w:color w:val="141414"/>
                <w:sz w:val="18"/>
              </w:rPr>
              <w:t>Működő nyelvi keretrendszer és Megrendelő által átadott fordítások megjelenítése; fordítás készítése nem része a díjnak.</w:t>
            </w:r>
          </w:p>
        </w:tc>
      </w:tr>
      <w:tr>
        <w:trPr>
          <w:cantSplit/>
        </w:trPr>
        <w:tc>
          <w:tcPr>
            <w:tcW w:type="dxa" w:w="2834"/>
            <w:tcMar>
              <w:top w:w="90" w:type="dxa"/>
              <w:start w:w="120" w:type="dxa"/>
              <w:bottom w:w="90" w:type="dxa"/>
              <w:end w:w="120" w:type="dxa"/>
            </w:tcMar>
            <w:vAlign w:val="center"/>
          </w:tcPr>
          <w:p>
            <w:pPr>
              <w:spacing w:after="0" w:line="252" w:lineRule="auto"/>
            </w:pPr>
            <w:r/>
            <w:r>
              <w:rPr>
                <w:rFonts w:ascii="Aptos" w:hAnsi="Aptos"/>
                <w:b/>
                <w:i w:val="0"/>
                <w:color w:val="141414"/>
                <w:sz w:val="18"/>
              </w:rPr>
              <w:t>Analitika</w:t>
            </w:r>
          </w:p>
        </w:tc>
        <w:tc>
          <w:tcPr>
            <w:tcW w:type="dxa" w:w="6633"/>
            <w:tcMar>
              <w:top w:w="90" w:type="dxa"/>
              <w:start w:w="120" w:type="dxa"/>
              <w:bottom w:w="90" w:type="dxa"/>
              <w:end w:w="120" w:type="dxa"/>
            </w:tcMar>
            <w:vAlign w:val="center"/>
          </w:tcPr>
          <w:p>
            <w:pPr>
              <w:spacing w:after="0" w:line="252" w:lineRule="auto"/>
            </w:pPr>
            <w:r/>
            <w:r>
              <w:rPr>
                <w:rFonts w:ascii="Aptos" w:hAnsi="Aptos"/>
                <w:b w:val="0"/>
                <w:i w:val="0"/>
                <w:color w:val="141414"/>
                <w:sz w:val="18"/>
              </w:rPr>
              <w:t>Alap mérőszámok és egy külső analitikai szolgáltatás bekötése; egyedi üzleti intelligencia rendszer nem része a díjnak.</w:t>
            </w:r>
          </w:p>
        </w:tc>
      </w:tr>
      <w:tr>
        <w:trPr>
          <w:cantSplit/>
        </w:trPr>
        <w:tc>
          <w:tcPr>
            <w:tcW w:type="dxa" w:w="2834"/>
            <w:tcMar>
              <w:top w:w="90" w:type="dxa"/>
              <w:start w:w="120" w:type="dxa"/>
              <w:bottom w:w="90" w:type="dxa"/>
              <w:end w:w="120" w:type="dxa"/>
            </w:tcMar>
            <w:vAlign w:val="center"/>
          </w:tcPr>
          <w:p>
            <w:pPr>
              <w:spacing w:after="0" w:line="252" w:lineRule="auto"/>
            </w:pPr>
            <w:r/>
            <w:r>
              <w:rPr>
                <w:rFonts w:ascii="Aptos" w:hAnsi="Aptos"/>
                <w:b/>
                <w:i w:val="0"/>
                <w:color w:val="141414"/>
                <w:sz w:val="18"/>
              </w:rPr>
              <w:t>Fizikai vezérlés</w:t>
            </w:r>
          </w:p>
        </w:tc>
        <w:tc>
          <w:tcPr>
            <w:tcW w:type="dxa" w:w="6633"/>
            <w:tcMar>
              <w:top w:w="90" w:type="dxa"/>
              <w:start w:w="120" w:type="dxa"/>
              <w:bottom w:w="90" w:type="dxa"/>
              <w:end w:w="120" w:type="dxa"/>
            </w:tcMar>
            <w:vAlign w:val="center"/>
          </w:tcPr>
          <w:p>
            <w:pPr>
              <w:spacing w:after="0" w:line="252" w:lineRule="auto"/>
            </w:pPr>
            <w:r/>
            <w:r>
              <w:rPr>
                <w:rFonts w:ascii="Aptos" w:hAnsi="Aptos"/>
                <w:b w:val="0"/>
                <w:i w:val="0"/>
                <w:color w:val="141414"/>
                <w:sz w:val="18"/>
              </w:rPr>
              <w:t>Dokumentált API és teszt- vagy szimulált végpont; hardver, helyszíni telepítés és éles vezérlés külön megállapodás tárgya.</w:t>
            </w:r>
          </w:p>
        </w:tc>
      </w:tr>
      <w:tr>
        <w:trPr>
          <w:cantSplit/>
        </w:trPr>
        <w:tc>
          <w:tcPr>
            <w:tcW w:type="dxa" w:w="2834"/>
            <w:tcMar>
              <w:top w:w="90" w:type="dxa"/>
              <w:start w:w="120" w:type="dxa"/>
              <w:bottom w:w="90" w:type="dxa"/>
              <w:end w:w="120" w:type="dxa"/>
            </w:tcMar>
            <w:vAlign w:val="center"/>
          </w:tcPr>
          <w:p>
            <w:pPr>
              <w:spacing w:after="0" w:line="252" w:lineRule="auto"/>
            </w:pPr>
            <w:r/>
            <w:r>
              <w:rPr>
                <w:rFonts w:ascii="Aptos" w:hAnsi="Aptos"/>
                <w:b/>
                <w:i w:val="0"/>
                <w:color w:val="141414"/>
                <w:sz w:val="18"/>
              </w:rPr>
              <w:t>Chat és moderáció</w:t>
            </w:r>
          </w:p>
        </w:tc>
        <w:tc>
          <w:tcPr>
            <w:tcW w:type="dxa" w:w="6633"/>
            <w:tcMar>
              <w:top w:w="90" w:type="dxa"/>
              <w:start w:w="120" w:type="dxa"/>
              <w:bottom w:w="90" w:type="dxa"/>
              <w:end w:w="120" w:type="dxa"/>
            </w:tcMar>
            <w:vAlign w:val="center"/>
          </w:tcPr>
          <w:p>
            <w:pPr>
              <w:spacing w:after="0" w:line="252" w:lineRule="auto"/>
            </w:pPr>
            <w:r/>
            <w:r>
              <w:rPr>
                <w:rFonts w:ascii="Aptos" w:hAnsi="Aptos"/>
                <w:b w:val="0"/>
                <w:i w:val="0"/>
                <w:color w:val="141414"/>
                <w:sz w:val="18"/>
              </w:rPr>
              <w:t>Alap chatmodul vagy jóváhagyott külső szolgáltatás integrációja, alap moderációs műveletekkel; nagy terhelésű saját chat-infrastruktúra külön hatókör.</w:t>
            </w:r>
          </w:p>
        </w:tc>
      </w:tr>
    </w:tbl>
    <w:p>
      <w:pPr>
        <w:spacing w:after="20"/>
      </w:pPr>
    </w:p>
    <w:p>
      <w:pPr>
        <w:pStyle w:val="Heading1"/>
        <w:keepNext/>
      </w:pPr>
      <w:r>
        <w:rPr>
          <w:rFonts w:ascii="Aptos" w:hAnsi="Aptos"/>
          <w:b/>
          <w:i w:val="0"/>
          <w:color w:val="961419"/>
          <w:sz w:val="26"/>
        </w:rPr>
        <w:t>4. Felhasználói és harcosjelentkezési rendszer</w:t>
      </w:r>
    </w:p>
    <w:p>
      <w:pPr>
        <w:pStyle w:val="Heading2"/>
        <w:keepNext/>
      </w:pPr>
      <w:r>
        <w:rPr>
          <w:rFonts w:ascii="Aptos" w:hAnsi="Aptos"/>
          <w:b/>
          <w:i w:val="0"/>
          <w:color w:val="2D2D2D"/>
          <w:sz w:val="22"/>
        </w:rPr>
        <w:t>4.1. Felhasználói fiók</w:t>
      </w:r>
    </w:p>
    <w:p>
      <w:pPr>
        <w:pStyle w:val="SpecBullet"/>
        <w:ind w:left="369" w:hanging="198"/>
      </w:pPr>
      <w:r>
        <w:rPr>
          <w:rFonts w:ascii="Aptos" w:hAnsi="Aptos"/>
          <w:b/>
          <w:i w:val="0"/>
          <w:color w:val="961419"/>
          <w:sz w:val="20"/>
        </w:rPr>
        <w:t xml:space="preserve">• </w:t>
      </w:r>
      <w:r>
        <w:rPr>
          <w:rFonts w:ascii="Aptos" w:hAnsi="Aptos"/>
          <w:b w:val="0"/>
          <w:i w:val="0"/>
          <w:color w:val="141414"/>
          <w:sz w:val="20"/>
        </w:rPr>
        <w:t>Regisztráció, bejelentkezés, kijelentkezés és biztonságos jelszó-helyreállítás.</w:t>
      </w:r>
    </w:p>
    <w:p>
      <w:pPr>
        <w:pStyle w:val="SpecBullet"/>
        <w:ind w:left="369" w:hanging="198"/>
      </w:pPr>
      <w:r>
        <w:rPr>
          <w:rFonts w:ascii="Aptos" w:hAnsi="Aptos"/>
          <w:b/>
          <w:i w:val="0"/>
          <w:color w:val="961419"/>
          <w:sz w:val="20"/>
        </w:rPr>
        <w:t xml:space="preserve">• </w:t>
      </w:r>
      <w:r>
        <w:rPr>
          <w:rFonts w:ascii="Aptos" w:hAnsi="Aptos"/>
          <w:b w:val="0"/>
          <w:i w:val="0"/>
          <w:color w:val="141414"/>
          <w:sz w:val="20"/>
        </w:rPr>
        <w:t>E-mail-cím ellenőrzése, adatkezelési hozzájárulások rögzítése és időbélyegzése.</w:t>
      </w:r>
    </w:p>
    <w:p>
      <w:pPr>
        <w:pStyle w:val="SpecBullet"/>
        <w:ind w:left="369" w:hanging="198"/>
      </w:pPr>
      <w:r>
        <w:rPr>
          <w:rFonts w:ascii="Aptos" w:hAnsi="Aptos"/>
          <w:b/>
          <w:i w:val="0"/>
          <w:color w:val="961419"/>
          <w:sz w:val="20"/>
        </w:rPr>
        <w:t xml:space="preserve">• </w:t>
      </w:r>
      <w:r>
        <w:rPr>
          <w:rFonts w:ascii="Aptos" w:hAnsi="Aptos"/>
          <w:b w:val="0"/>
          <w:i w:val="0"/>
          <w:color w:val="141414"/>
          <w:sz w:val="20"/>
        </w:rPr>
        <w:t>Profiladatok, nyelvi és értesítési beállítások kezelése.</w:t>
      </w:r>
    </w:p>
    <w:p>
      <w:pPr>
        <w:pStyle w:val="SpecBullet"/>
        <w:ind w:left="369" w:hanging="198"/>
      </w:pPr>
      <w:r>
        <w:rPr>
          <w:rFonts w:ascii="Aptos" w:hAnsi="Aptos"/>
          <w:b/>
          <w:i w:val="0"/>
          <w:color w:val="961419"/>
          <w:sz w:val="20"/>
        </w:rPr>
        <w:t xml:space="preserve">• </w:t>
      </w:r>
      <w:r>
        <w:rPr>
          <w:rFonts w:ascii="Aptos" w:hAnsi="Aptos"/>
          <w:b w:val="0"/>
          <w:i w:val="0"/>
          <w:color w:val="141414"/>
          <w:sz w:val="20"/>
        </w:rPr>
        <w:t>Előfizetési állapot és jogosultságok megjelenítése.</w:t>
      </w:r>
    </w:p>
    <w:p>
      <w:pPr>
        <w:pStyle w:val="Heading2"/>
        <w:keepNext/>
      </w:pPr>
      <w:r>
        <w:rPr>
          <w:rFonts w:ascii="Aptos" w:hAnsi="Aptos"/>
          <w:b/>
          <w:i w:val="0"/>
          <w:color w:val="2D2D2D"/>
          <w:sz w:val="22"/>
        </w:rPr>
        <w:t>4.2. Harcos jelentkezés</w:t>
      </w:r>
    </w:p>
    <w:tbl>
      <w:tblPr>
        <w:tblStyle w:val="TableGrid"/>
        <w:tblW w:type="dxa" w:w="9467"/>
        <w:jc w:val="center"/>
        <w:tblLayout w:type="fixed"/>
        <w:tblLook w:firstColumn="1" w:firstRow="1" w:lastColumn="0" w:lastRow="0" w:noHBand="0" w:noVBand="1" w:val="04A0"/>
      </w:tblPr>
      <w:tblGrid>
        <w:gridCol w:w="4734"/>
        <w:gridCol w:w="4734"/>
      </w:tblGrid>
      <w:tr>
        <w:trPr>
          <w:cantSplit/>
        </w:trPr>
        <w:tc>
          <w:tcPr>
            <w:tcW w:type="dxa" w:w="2267"/>
            <w:shd w:fill="EDEDED"/>
            <w:tcMar>
              <w:top w:w="110" w:type="dxa"/>
              <w:start w:w="120" w:type="dxa"/>
              <w:bottom w:w="110" w:type="dxa"/>
              <w:end w:w="120" w:type="dxa"/>
            </w:tcMar>
            <w:vAlign w:val="center"/>
          </w:tcPr>
          <w:p>
            <w:pPr>
              <w:spacing w:after="0"/>
            </w:pPr>
            <w:r/>
            <w:r>
              <w:rPr>
                <w:rFonts w:ascii="Aptos" w:hAnsi="Aptos"/>
                <w:b/>
                <w:i w:val="0"/>
                <w:color w:val="961419"/>
                <w:sz w:val="18"/>
              </w:rPr>
              <w:t>Adatcsoport</w:t>
            </w:r>
          </w:p>
        </w:tc>
        <w:tc>
          <w:tcPr>
            <w:tcW w:type="dxa" w:w="7200"/>
            <w:shd w:fill="EDEDED"/>
            <w:tcMar>
              <w:top w:w="110" w:type="dxa"/>
              <w:start w:w="120" w:type="dxa"/>
              <w:bottom w:w="110" w:type="dxa"/>
              <w:end w:w="120" w:type="dxa"/>
            </w:tcMar>
            <w:vAlign w:val="center"/>
          </w:tcPr>
          <w:p>
            <w:pPr>
              <w:spacing w:after="0"/>
            </w:pPr>
            <w:r/>
            <w:r>
              <w:rPr>
                <w:rFonts w:ascii="Aptos" w:hAnsi="Aptos"/>
                <w:b/>
                <w:i w:val="0"/>
                <w:color w:val="961419"/>
                <w:sz w:val="18"/>
              </w:rPr>
              <w:t>Kezelt adatok / funkciók</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Személyes alapadatok</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Név, életkor vagy születési adat, lakóhely szerinti város, elérhetőségek.</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Sportadatok</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Testsúly, sportmúlt, tapasztalat, releváns eredmények és bemutatkozás.</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Motiváció és média</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Motivációs leírás, videó- vagy közösségimédia-hivatkozás, szükség esetén fájlfeltöltés.</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Nyilatkozatok</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Adatkezelési és jelentkezési feltételek elfogadása, szükséges hozzájárulások.</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Folyamatállapot</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Beérkezett, ellenőrzés alatt, hiánypótlás, továbbjutott, elutasított vagy egyedileg meghatározott státusz.</w:t>
            </w:r>
          </w:p>
        </w:tc>
      </w:tr>
    </w:tbl>
    <w:p>
      <w:pPr>
        <w:spacing w:after="20"/>
      </w:pPr>
    </w:p>
    <w:p>
      <w:pPr>
        <w:keepLines/>
        <w:spacing w:after="100" w:line="269" w:lineRule="auto"/>
      </w:pPr>
      <w:r>
        <w:rPr>
          <w:rFonts w:ascii="Aptos" w:hAnsi="Aptos"/>
          <w:b w:val="0"/>
          <w:i w:val="0"/>
          <w:color w:val="141414"/>
          <w:sz w:val="20"/>
        </w:rPr>
        <w:t>A jelentkezési adatok kizárólag az arra jogosult adminisztrátori szerepkörök számára hozzáférhetők. A rendszernek támogatnia kell a keresést, szűrést, státuszváltást, belső megjegyzést és az érintett értesítését.</w:t>
      </w:r>
    </w:p>
    <w:p>
      <w:pPr>
        <w:pStyle w:val="Heading1"/>
        <w:keepNext/>
      </w:pPr>
      <w:r>
        <w:rPr>
          <w:rFonts w:ascii="Aptos" w:hAnsi="Aptos"/>
          <w:b/>
          <w:i w:val="0"/>
          <w:color w:val="961419"/>
          <w:sz w:val="26"/>
        </w:rPr>
        <w:t>5. Streaming, előfizetés és nézői élmény</w:t>
      </w:r>
    </w:p>
    <w:p>
      <w:pPr>
        <w:pStyle w:val="Heading2"/>
        <w:keepNext/>
      </w:pPr>
      <w:r>
        <w:rPr>
          <w:rFonts w:ascii="Aptos" w:hAnsi="Aptos"/>
          <w:b/>
          <w:i w:val="0"/>
          <w:color w:val="2D2D2D"/>
          <w:sz w:val="22"/>
        </w:rPr>
        <w:t>5.1. Streaming felület</w:t>
      </w:r>
    </w:p>
    <w:p>
      <w:pPr>
        <w:pStyle w:val="SpecBullet"/>
        <w:ind w:left="369" w:hanging="198"/>
      </w:pPr>
      <w:r>
        <w:rPr>
          <w:rFonts w:ascii="Aptos" w:hAnsi="Aptos"/>
          <w:b/>
          <w:i w:val="0"/>
          <w:color w:val="961419"/>
          <w:sz w:val="20"/>
        </w:rPr>
        <w:t xml:space="preserve">• </w:t>
      </w:r>
      <w:r>
        <w:rPr>
          <w:rFonts w:ascii="Aptos" w:hAnsi="Aptos"/>
          <w:b w:val="0"/>
          <w:i w:val="0"/>
          <w:color w:val="141414"/>
          <w:sz w:val="20"/>
        </w:rPr>
        <w:t>Élő közvetítés beágyazott vagy saját lejátszófelülettel, hozzáférési jogosultság ellenőrzésével.</w:t>
      </w:r>
    </w:p>
    <w:p>
      <w:pPr>
        <w:pStyle w:val="SpecBullet"/>
        <w:ind w:left="369" w:hanging="198"/>
      </w:pPr>
      <w:r>
        <w:rPr>
          <w:rFonts w:ascii="Aptos" w:hAnsi="Aptos"/>
          <w:b/>
          <w:i w:val="0"/>
          <w:color w:val="961419"/>
          <w:sz w:val="20"/>
        </w:rPr>
        <w:t xml:space="preserve">• </w:t>
      </w:r>
      <w:r>
        <w:rPr>
          <w:rFonts w:ascii="Aptos" w:hAnsi="Aptos"/>
          <w:b w:val="0"/>
          <w:i w:val="0"/>
          <w:color w:val="141414"/>
          <w:sz w:val="20"/>
        </w:rPr>
        <w:t>Adaptív videóminőség és teljes képernyős lejátszás az alkalmazott közvetítési szolgáltatás képességei szerint.</w:t>
      </w:r>
    </w:p>
    <w:p>
      <w:pPr>
        <w:pStyle w:val="SpecBullet"/>
        <w:ind w:left="369" w:hanging="198"/>
      </w:pPr>
      <w:r>
        <w:rPr>
          <w:rFonts w:ascii="Aptos" w:hAnsi="Aptos"/>
          <w:b/>
          <w:i w:val="0"/>
          <w:color w:val="961419"/>
          <w:sz w:val="20"/>
        </w:rPr>
        <w:t xml:space="preserve">• </w:t>
      </w:r>
      <w:r>
        <w:rPr>
          <w:rFonts w:ascii="Aptos" w:hAnsi="Aptos"/>
          <w:b w:val="0"/>
          <w:i w:val="0"/>
          <w:color w:val="141414"/>
          <w:sz w:val="20"/>
        </w:rPr>
        <w:t>Élő műsorállapot, kezdési idő, visszaszámláló és üzemeltetői tájékoztatások.</w:t>
      </w:r>
    </w:p>
    <w:p>
      <w:pPr>
        <w:pStyle w:val="SpecBullet"/>
        <w:ind w:left="369" w:hanging="198"/>
      </w:pPr>
      <w:r>
        <w:rPr>
          <w:rFonts w:ascii="Aptos" w:hAnsi="Aptos"/>
          <w:b/>
          <w:i w:val="0"/>
          <w:color w:val="961419"/>
          <w:sz w:val="20"/>
        </w:rPr>
        <w:t xml:space="preserve">• </w:t>
      </w:r>
      <w:r>
        <w:rPr>
          <w:rFonts w:ascii="Aptos" w:hAnsi="Aptos"/>
          <w:b w:val="0"/>
          <w:i w:val="0"/>
          <w:color w:val="141414"/>
          <w:sz w:val="20"/>
        </w:rPr>
        <w:t>Visszanézhető adások és epizódok jogosultság alapján, kategorizálható médiatárban.</w:t>
      </w:r>
    </w:p>
    <w:p>
      <w:pPr>
        <w:pStyle w:val="SpecBullet"/>
        <w:ind w:left="369" w:hanging="198"/>
      </w:pPr>
      <w:r>
        <w:rPr>
          <w:rFonts w:ascii="Aptos" w:hAnsi="Aptos"/>
          <w:b/>
          <w:i w:val="0"/>
          <w:color w:val="961419"/>
          <w:sz w:val="20"/>
        </w:rPr>
        <w:t xml:space="preserve">• </w:t>
      </w:r>
      <w:r>
        <w:rPr>
          <w:rFonts w:ascii="Aptos" w:hAnsi="Aptos"/>
          <w:b w:val="0"/>
          <w:i w:val="0"/>
          <w:color w:val="141414"/>
          <w:sz w:val="20"/>
        </w:rPr>
        <w:t>Külső videó- és közösségi csatornák beágyazásának vagy hivatkozásának lehetősége.</w:t>
      </w:r>
    </w:p>
    <w:p>
      <w:pPr>
        <w:pStyle w:val="Heading2"/>
        <w:keepNext/>
      </w:pPr>
      <w:r>
        <w:rPr>
          <w:rFonts w:ascii="Aptos" w:hAnsi="Aptos"/>
          <w:b/>
          <w:i w:val="0"/>
          <w:color w:val="2D2D2D"/>
          <w:sz w:val="22"/>
        </w:rPr>
        <w:t>5.2. Előfizetési rendszer</w:t>
      </w:r>
    </w:p>
    <w:p>
      <w:pPr>
        <w:pStyle w:val="SpecBullet"/>
        <w:ind w:left="369" w:hanging="198"/>
      </w:pPr>
      <w:r>
        <w:rPr>
          <w:rFonts w:ascii="Aptos" w:hAnsi="Aptos"/>
          <w:b/>
          <w:i w:val="0"/>
          <w:color w:val="961419"/>
          <w:sz w:val="20"/>
        </w:rPr>
        <w:t xml:space="preserve">• </w:t>
      </w:r>
      <w:r>
        <w:rPr>
          <w:rFonts w:ascii="Aptos" w:hAnsi="Aptos"/>
          <w:b w:val="0"/>
          <w:i w:val="0"/>
          <w:color w:val="141414"/>
          <w:sz w:val="20"/>
        </w:rPr>
        <w:t>Előfizetési csomagok és hozzáférési szintek adminisztrátori meghatározása.</w:t>
      </w:r>
    </w:p>
    <w:p>
      <w:pPr>
        <w:pStyle w:val="SpecBullet"/>
        <w:ind w:left="369" w:hanging="198"/>
      </w:pPr>
      <w:r>
        <w:rPr>
          <w:rFonts w:ascii="Aptos" w:hAnsi="Aptos"/>
          <w:b/>
          <w:i w:val="0"/>
          <w:color w:val="961419"/>
          <w:sz w:val="20"/>
        </w:rPr>
        <w:t xml:space="preserve">• </w:t>
      </w:r>
      <w:r>
        <w:rPr>
          <w:rFonts w:ascii="Aptos" w:hAnsi="Aptos"/>
          <w:b w:val="0"/>
          <w:i w:val="0"/>
          <w:color w:val="141414"/>
          <w:sz w:val="20"/>
        </w:rPr>
        <w:t>Külső fizetési szolgáltató integrációja biztonságos átirányítással vagy szolgáltatói fizetőfelülettel.</w:t>
      </w:r>
    </w:p>
    <w:p>
      <w:pPr>
        <w:pStyle w:val="SpecBullet"/>
        <w:ind w:left="369" w:hanging="198"/>
      </w:pPr>
      <w:r>
        <w:rPr>
          <w:rFonts w:ascii="Aptos" w:hAnsi="Aptos"/>
          <w:b/>
          <w:i w:val="0"/>
          <w:color w:val="961419"/>
          <w:sz w:val="20"/>
        </w:rPr>
        <w:t xml:space="preserve">• </w:t>
      </w:r>
      <w:r>
        <w:rPr>
          <w:rFonts w:ascii="Aptos" w:hAnsi="Aptos"/>
          <w:b w:val="0"/>
          <w:i w:val="0"/>
          <w:color w:val="141414"/>
          <w:sz w:val="20"/>
        </w:rPr>
        <w:t>Sikeres, sikertelen, függőben lévő és megszűnt előfizetési állapotok kezelése.</w:t>
      </w:r>
    </w:p>
    <w:p>
      <w:pPr>
        <w:pStyle w:val="SpecBullet"/>
        <w:ind w:left="369" w:hanging="198"/>
      </w:pPr>
      <w:r>
        <w:rPr>
          <w:rFonts w:ascii="Aptos" w:hAnsi="Aptos"/>
          <w:b/>
          <w:i w:val="0"/>
          <w:color w:val="961419"/>
          <w:sz w:val="20"/>
        </w:rPr>
        <w:t xml:space="preserve">• </w:t>
      </w:r>
      <w:r>
        <w:rPr>
          <w:rFonts w:ascii="Aptos" w:hAnsi="Aptos"/>
          <w:b w:val="0"/>
          <w:i w:val="0"/>
          <w:color w:val="141414"/>
          <w:sz w:val="20"/>
        </w:rPr>
        <w:t>Jogosultság automatikus aktiválása és visszavonása a szolgáltatói visszajelzések alapján.</w:t>
      </w:r>
    </w:p>
    <w:p>
      <w:pPr>
        <w:keepLines/>
        <w:spacing w:after="100" w:line="269" w:lineRule="auto"/>
      </w:pPr>
      <w:r>
        <w:rPr>
          <w:rFonts w:ascii="Aptos" w:hAnsi="Aptos"/>
          <w:b w:val="0"/>
          <w:i/>
          <w:color w:val="141414"/>
          <w:sz w:val="20"/>
        </w:rPr>
        <w:t>A fizetési szolgáltató, a videóközvetítési szolgáltatás és más külső infrastruktúrák díjai nem részei a fejlesztési díjnak, kivéve, ha a Felek írásban eltérően állapodnak meg.</w:t>
      </w:r>
    </w:p>
    <w:p>
      <w:pPr>
        <w:pStyle w:val="Heading1"/>
        <w:keepNext/>
      </w:pPr>
      <w:r>
        <w:rPr>
          <w:rFonts w:ascii="Aptos" w:hAnsi="Aptos"/>
          <w:b/>
          <w:i w:val="0"/>
          <w:color w:val="961419"/>
          <w:sz w:val="26"/>
        </w:rPr>
        <w:t>6. Interaktív rendszer</w:t>
      </w:r>
    </w:p>
    <w:p>
      <w:pPr>
        <w:pStyle w:val="Heading2"/>
        <w:keepNext/>
      </w:pPr>
      <w:r>
        <w:rPr>
          <w:rFonts w:ascii="Aptos" w:hAnsi="Aptos"/>
          <w:b/>
          <w:i w:val="0"/>
          <w:color w:val="2D2D2D"/>
          <w:sz w:val="22"/>
        </w:rPr>
        <w:t>6.1. Nézői interakciók</w:t>
      </w:r>
    </w:p>
    <w:p>
      <w:pPr>
        <w:pStyle w:val="SpecBullet"/>
        <w:ind w:left="369" w:hanging="198"/>
      </w:pPr>
      <w:r>
        <w:rPr>
          <w:rFonts w:ascii="Aptos" w:hAnsi="Aptos"/>
          <w:b/>
          <w:i w:val="0"/>
          <w:color w:val="961419"/>
          <w:sz w:val="20"/>
        </w:rPr>
        <w:t xml:space="preserve">• </w:t>
      </w:r>
      <w:r>
        <w:rPr>
          <w:rFonts w:ascii="Aptos" w:hAnsi="Aptos"/>
          <w:b w:val="0"/>
          <w:i w:val="0"/>
          <w:color w:val="141414"/>
          <w:sz w:val="20"/>
        </w:rPr>
        <w:t>Valós idejű vagy közel valós idejű szavazások, meghatározott nyitási és zárási idővel.</w:t>
      </w:r>
    </w:p>
    <w:p>
      <w:pPr>
        <w:pStyle w:val="SpecBullet"/>
        <w:ind w:left="369" w:hanging="198"/>
      </w:pPr>
      <w:r>
        <w:rPr>
          <w:rFonts w:ascii="Aptos" w:hAnsi="Aptos"/>
          <w:b/>
          <w:i w:val="0"/>
          <w:color w:val="961419"/>
          <w:sz w:val="20"/>
        </w:rPr>
        <w:t xml:space="preserve">• </w:t>
      </w:r>
      <w:r>
        <w:rPr>
          <w:rFonts w:ascii="Aptos" w:hAnsi="Aptos"/>
          <w:b w:val="0"/>
          <w:i w:val="0"/>
          <w:color w:val="141414"/>
          <w:sz w:val="20"/>
        </w:rPr>
        <w:t>Eredmények adminisztrátori követése, nyilvános megjelenítésének kapcsolhatósága és archiválása.</w:t>
      </w:r>
    </w:p>
    <w:p>
      <w:pPr>
        <w:pStyle w:val="SpecBullet"/>
        <w:ind w:left="369" w:hanging="198"/>
      </w:pPr>
      <w:r>
        <w:rPr>
          <w:rFonts w:ascii="Aptos" w:hAnsi="Aptos"/>
          <w:b/>
          <w:i w:val="0"/>
          <w:color w:val="961419"/>
          <w:sz w:val="20"/>
        </w:rPr>
        <w:t xml:space="preserve">• </w:t>
      </w:r>
      <w:r>
        <w:rPr>
          <w:rFonts w:ascii="Aptos" w:hAnsi="Aptos"/>
          <w:b w:val="0"/>
          <w:i w:val="0"/>
          <w:color w:val="141414"/>
          <w:sz w:val="20"/>
        </w:rPr>
        <w:t>Nyereményjátékok, jutalmak, büntetések és műsorhoz kapcsolódó interakciók konfigurálható kezelése.</w:t>
      </w:r>
    </w:p>
    <w:p>
      <w:pPr>
        <w:pStyle w:val="SpecBullet"/>
        <w:ind w:left="369" w:hanging="198"/>
      </w:pPr>
      <w:r>
        <w:rPr>
          <w:rFonts w:ascii="Aptos" w:hAnsi="Aptos"/>
          <w:b/>
          <w:i w:val="0"/>
          <w:color w:val="961419"/>
          <w:sz w:val="20"/>
        </w:rPr>
        <w:t xml:space="preserve">• </w:t>
      </w:r>
      <w:r>
        <w:rPr>
          <w:rFonts w:ascii="Aptos" w:hAnsi="Aptos"/>
          <w:b w:val="0"/>
          <w:i w:val="0"/>
          <w:color w:val="141414"/>
          <w:sz w:val="20"/>
        </w:rPr>
        <w:t>Chat vagy közösségi kommunikációs felület moderációs képességekkel, amennyiben az adott fázisban aktiválásra kerül.</w:t>
      </w:r>
    </w:p>
    <w:p>
      <w:pPr>
        <w:pStyle w:val="Heading2"/>
        <w:keepNext/>
      </w:pPr>
      <w:r>
        <w:rPr>
          <w:rFonts w:ascii="Aptos" w:hAnsi="Aptos"/>
          <w:b/>
          <w:i w:val="0"/>
          <w:color w:val="2D2D2D"/>
          <w:sz w:val="22"/>
        </w:rPr>
        <w:t>6.2. Fizikai vezérlés előkészítése</w:t>
      </w:r>
    </w:p>
    <w:p>
      <w:pPr>
        <w:keepLines/>
        <w:spacing w:after="100" w:line="269" w:lineRule="auto"/>
      </w:pPr>
      <w:r>
        <w:rPr>
          <w:rFonts w:ascii="Aptos" w:hAnsi="Aptos"/>
          <w:b w:val="0"/>
          <w:i w:val="0"/>
          <w:color w:val="141414"/>
          <w:sz w:val="20"/>
        </w:rPr>
        <w:t>A Super Admin rendszer olyan vezérlőinterfészt biztosít, amely később Raspberry Pi vagy más mikrokontroller-alapú eszközökhöz kapcsolható. A logikai zónák – nappali, konyha, hálószobák, edzőterem, kert és további helyiségek – egymástól elkülönítve kezelhetők. A vezérlés kiterjedhet hang-, fény-, LED- és reléalapú események indítására. A konkrét hardver, kábelezés, helyszíni telepítés és biztonságtechnikai megfelelőség csak külön írásbeli megállapodás esetén része a Vállalkozó feladatának.</w:t>
      </w:r>
    </w:p>
    <w:p>
      <w:pPr>
        <w:pStyle w:val="Heading1"/>
        <w:keepNext/>
      </w:pPr>
      <w:r>
        <w:rPr>
          <w:rFonts w:ascii="Aptos" w:hAnsi="Aptos"/>
          <w:b/>
          <w:i w:val="0"/>
          <w:color w:val="961419"/>
          <w:sz w:val="26"/>
        </w:rPr>
        <w:t>7. Super Admin és jogosultságkezelés</w:t>
      </w:r>
    </w:p>
    <w:tbl>
      <w:tblPr>
        <w:tblStyle w:val="TableGrid"/>
        <w:tblW w:type="dxa" w:w="9467"/>
        <w:jc w:val="center"/>
        <w:tblLayout w:type="fixed"/>
        <w:tblLook w:firstColumn="1" w:firstRow="1" w:lastColumn="0" w:lastRow="0" w:noHBand="0" w:noVBand="1" w:val="04A0"/>
      </w:tblPr>
      <w:tblGrid>
        <w:gridCol w:w="4734"/>
        <w:gridCol w:w="4734"/>
      </w:tblGrid>
      <w:tr>
        <w:trPr>
          <w:cantSplit/>
        </w:trPr>
        <w:tc>
          <w:tcPr>
            <w:tcW w:type="dxa" w:w="2267"/>
            <w:shd w:fill="EDEDED"/>
            <w:tcMar>
              <w:top w:w="110" w:type="dxa"/>
              <w:start w:w="120" w:type="dxa"/>
              <w:bottom w:w="110" w:type="dxa"/>
              <w:end w:w="120" w:type="dxa"/>
            </w:tcMar>
            <w:vAlign w:val="center"/>
          </w:tcPr>
          <w:p>
            <w:pPr>
              <w:spacing w:after="0"/>
            </w:pPr>
            <w:r/>
            <w:r>
              <w:rPr>
                <w:rFonts w:ascii="Aptos" w:hAnsi="Aptos"/>
                <w:b/>
                <w:i w:val="0"/>
                <w:color w:val="961419"/>
                <w:sz w:val="18"/>
              </w:rPr>
              <w:t>Szerepkör</w:t>
            </w:r>
          </w:p>
        </w:tc>
        <w:tc>
          <w:tcPr>
            <w:tcW w:type="dxa" w:w="7200"/>
            <w:shd w:fill="EDEDED"/>
            <w:tcMar>
              <w:top w:w="110" w:type="dxa"/>
              <w:start w:w="120" w:type="dxa"/>
              <w:bottom w:w="110" w:type="dxa"/>
              <w:end w:w="120" w:type="dxa"/>
            </w:tcMar>
            <w:vAlign w:val="center"/>
          </w:tcPr>
          <w:p>
            <w:pPr>
              <w:spacing w:after="0"/>
            </w:pPr>
            <w:r/>
            <w:r>
              <w:rPr>
                <w:rFonts w:ascii="Aptos" w:hAnsi="Aptos"/>
                <w:b/>
                <w:i w:val="0"/>
                <w:color w:val="961419"/>
                <w:sz w:val="18"/>
              </w:rPr>
              <w:t>Minimális jogosultsági kör</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Rendszeradminisztrátor</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Teljes rendszerkonfiguráció, felhasználók, szerepkörök, integrációk, naplók és hozzáférések.</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Producer</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Műsorok, epizódok, időzítések, kiemelések, szavazások és interakciók felügyelete.</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Reality szerkesztő</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Reality-tartalmak, versenyzői bemutatások, epizódok és kapcsolódó média kezelése.</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Tartalomkészítő</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Hírek, képek, videók és publikus oldaltartalmak létrehozása és szerkesztése.</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Marketing</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Kampányelemek, kiemelések, közösségi metaadatok, értesítések és alapstatisztikák.</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Moderátor</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Chat, hozzászólások, közösségi aktivitás és bejelentések kezelése.</w:t>
            </w:r>
          </w:p>
        </w:tc>
      </w:tr>
    </w:tbl>
    <w:p>
      <w:pPr>
        <w:spacing w:after="20"/>
      </w:pPr>
    </w:p>
    <w:p>
      <w:pPr>
        <w:pStyle w:val="SpecBullet"/>
        <w:ind w:left="369" w:hanging="198"/>
      </w:pPr>
      <w:r>
        <w:rPr>
          <w:rFonts w:ascii="Aptos" w:hAnsi="Aptos"/>
          <w:b/>
          <w:i w:val="0"/>
          <w:color w:val="961419"/>
          <w:sz w:val="20"/>
        </w:rPr>
        <w:t xml:space="preserve">• </w:t>
      </w:r>
      <w:r>
        <w:rPr>
          <w:rFonts w:ascii="Aptos" w:hAnsi="Aptos"/>
          <w:b w:val="0"/>
          <w:i w:val="0"/>
          <w:color w:val="141414"/>
          <w:sz w:val="20"/>
        </w:rPr>
        <w:t>Tartalmak létrehozása, szerkesztése, előnézete, időzítése, publikálása és archiválása.</w:t>
      </w:r>
    </w:p>
    <w:p>
      <w:pPr>
        <w:pStyle w:val="SpecBullet"/>
        <w:ind w:left="369" w:hanging="198"/>
      </w:pPr>
      <w:r>
        <w:rPr>
          <w:rFonts w:ascii="Aptos" w:hAnsi="Aptos"/>
          <w:b/>
          <w:i w:val="0"/>
          <w:color w:val="961419"/>
          <w:sz w:val="20"/>
        </w:rPr>
        <w:t xml:space="preserve">• </w:t>
      </w:r>
      <w:r>
        <w:rPr>
          <w:rFonts w:ascii="Aptos" w:hAnsi="Aptos"/>
          <w:b w:val="0"/>
          <w:i w:val="0"/>
          <w:color w:val="141414"/>
          <w:sz w:val="20"/>
        </w:rPr>
        <w:t>Videók, hírek, versenyzők, események, szavazások, hangok és vezérlési események kezelése.</w:t>
      </w:r>
    </w:p>
    <w:p>
      <w:pPr>
        <w:pStyle w:val="SpecBullet"/>
        <w:ind w:left="369" w:hanging="198"/>
      </w:pPr>
      <w:r>
        <w:rPr>
          <w:rFonts w:ascii="Aptos" w:hAnsi="Aptos"/>
          <w:b/>
          <w:i w:val="0"/>
          <w:color w:val="961419"/>
          <w:sz w:val="20"/>
        </w:rPr>
        <w:t xml:space="preserve">• </w:t>
      </w:r>
      <w:r>
        <w:rPr>
          <w:rFonts w:ascii="Aptos" w:hAnsi="Aptos"/>
          <w:b w:val="0"/>
          <w:i w:val="0"/>
          <w:color w:val="141414"/>
          <w:sz w:val="20"/>
        </w:rPr>
        <w:t>Felhasználók, jelentkezések, előfizetések és értesítési folyamatok áttekintése.</w:t>
      </w:r>
    </w:p>
    <w:p>
      <w:pPr>
        <w:pStyle w:val="SpecBullet"/>
        <w:ind w:left="369" w:hanging="198"/>
      </w:pPr>
      <w:r>
        <w:rPr>
          <w:rFonts w:ascii="Aptos" w:hAnsi="Aptos"/>
          <w:b/>
          <w:i w:val="0"/>
          <w:color w:val="961419"/>
          <w:sz w:val="20"/>
        </w:rPr>
        <w:t xml:space="preserve">• </w:t>
      </w:r>
      <w:r>
        <w:rPr>
          <w:rFonts w:ascii="Aptos" w:hAnsi="Aptos"/>
          <w:b w:val="0"/>
          <w:i w:val="0"/>
          <w:color w:val="141414"/>
          <w:sz w:val="20"/>
        </w:rPr>
        <w:t>Szerepköralapú hozzáférés; a felhasználó csak a feladatához szükséges műveleteket érheti el.</w:t>
      </w:r>
    </w:p>
    <w:p>
      <w:pPr>
        <w:pStyle w:val="SpecBullet"/>
        <w:ind w:left="369" w:hanging="198"/>
      </w:pPr>
      <w:r>
        <w:rPr>
          <w:rFonts w:ascii="Aptos" w:hAnsi="Aptos"/>
          <w:b/>
          <w:i w:val="0"/>
          <w:color w:val="961419"/>
          <w:sz w:val="20"/>
        </w:rPr>
        <w:t xml:space="preserve">• </w:t>
      </w:r>
      <w:r>
        <w:rPr>
          <w:rFonts w:ascii="Aptos" w:hAnsi="Aptos"/>
          <w:b w:val="0"/>
          <w:i w:val="0"/>
          <w:color w:val="141414"/>
          <w:sz w:val="20"/>
        </w:rPr>
        <w:t>Lényeges adminisztrátori műveletek naplózása végrehajtóval és időponttal.</w:t>
      </w:r>
    </w:p>
    <w:p>
      <w:pPr>
        <w:pStyle w:val="Heading1"/>
        <w:keepNext/>
      </w:pPr>
      <w:r>
        <w:rPr>
          <w:rFonts w:ascii="Aptos" w:hAnsi="Aptos"/>
          <w:b/>
          <w:i w:val="0"/>
          <w:color w:val="961419"/>
          <w:sz w:val="26"/>
        </w:rPr>
        <w:t>8. Nyelvek, értesítések és analitika</w:t>
      </w:r>
    </w:p>
    <w:p>
      <w:pPr>
        <w:pStyle w:val="Heading2"/>
        <w:keepNext/>
      </w:pPr>
      <w:r>
        <w:rPr>
          <w:rFonts w:ascii="Aptos" w:hAnsi="Aptos"/>
          <w:b/>
          <w:i w:val="0"/>
          <w:color w:val="2D2D2D"/>
          <w:sz w:val="22"/>
        </w:rPr>
        <w:t>8.1. Többnyelvű működés</w:t>
      </w:r>
    </w:p>
    <w:p>
      <w:pPr>
        <w:keepLines/>
        <w:spacing w:after="100" w:line="269" w:lineRule="auto"/>
      </w:pPr>
      <w:r>
        <w:rPr>
          <w:rFonts w:ascii="Aptos" w:hAnsi="Aptos"/>
          <w:b w:val="0"/>
          <w:i w:val="0"/>
          <w:color w:val="141414"/>
          <w:sz w:val="20"/>
        </w:rPr>
        <w:t>A rendszer nyelvi architektúrája legalább a magyar, angol, szlovák, román, német, arab, horvát, szerb és szlovén nyelv kezelésére készül fel. A jobbról balra írt nyelv megjelenítési sajátosságait a felületi komponensek kialakításakor figyelembe kell venni. A fordítások elkészítése és szakmai ellenőrzése a Megrendelő feladata, hacsak a Felek írásban másként nem állapodnak meg.</w:t>
      </w:r>
    </w:p>
    <w:p>
      <w:pPr>
        <w:pStyle w:val="Heading2"/>
        <w:keepNext/>
      </w:pPr>
      <w:r>
        <w:rPr>
          <w:rFonts w:ascii="Aptos" w:hAnsi="Aptos"/>
          <w:b/>
          <w:i w:val="0"/>
          <w:color w:val="2D2D2D"/>
          <w:sz w:val="22"/>
        </w:rPr>
        <w:t>8.2. Értesítési rendszer</w:t>
      </w:r>
    </w:p>
    <w:p>
      <w:pPr>
        <w:pStyle w:val="SpecBullet"/>
        <w:ind w:left="369" w:hanging="198"/>
      </w:pPr>
      <w:r>
        <w:rPr>
          <w:rFonts w:ascii="Aptos" w:hAnsi="Aptos"/>
          <w:b/>
          <w:i w:val="0"/>
          <w:color w:val="961419"/>
          <w:sz w:val="20"/>
        </w:rPr>
        <w:t xml:space="preserve">• </w:t>
      </w:r>
      <w:r>
        <w:rPr>
          <w:rFonts w:ascii="Aptos" w:hAnsi="Aptos"/>
          <w:b w:val="0"/>
          <w:i w:val="0"/>
          <w:color w:val="141414"/>
          <w:sz w:val="20"/>
        </w:rPr>
        <w:t>Értesítési események: élő adás kezdete, új epizód, új szavazás, Fight Night, jelentkezési állapot és egyedi adminisztrátori közlemény.</w:t>
      </w:r>
    </w:p>
    <w:p>
      <w:pPr>
        <w:pStyle w:val="SpecBullet"/>
        <w:ind w:left="369" w:hanging="198"/>
      </w:pPr>
      <w:r>
        <w:rPr>
          <w:rFonts w:ascii="Aptos" w:hAnsi="Aptos"/>
          <w:b/>
          <w:i w:val="0"/>
          <w:color w:val="961419"/>
          <w:sz w:val="20"/>
        </w:rPr>
        <w:t xml:space="preserve">• </w:t>
      </w:r>
      <w:r>
        <w:rPr>
          <w:rFonts w:ascii="Aptos" w:hAnsi="Aptos"/>
          <w:b w:val="0"/>
          <w:i w:val="0"/>
          <w:color w:val="141414"/>
          <w:sz w:val="20"/>
        </w:rPr>
        <w:t>Webes felületen megjelenő értesítések és e-mailes értesítési alapfolyamatok.</w:t>
      </w:r>
    </w:p>
    <w:p>
      <w:pPr>
        <w:pStyle w:val="SpecBullet"/>
        <w:ind w:left="369" w:hanging="198"/>
      </w:pPr>
      <w:r>
        <w:rPr>
          <w:rFonts w:ascii="Aptos" w:hAnsi="Aptos"/>
          <w:b/>
          <w:i w:val="0"/>
          <w:color w:val="961419"/>
          <w:sz w:val="20"/>
        </w:rPr>
        <w:t xml:space="preserve">• </w:t>
      </w:r>
      <w:r>
        <w:rPr>
          <w:rFonts w:ascii="Aptos" w:hAnsi="Aptos"/>
          <w:b w:val="0"/>
          <w:i w:val="0"/>
          <w:color w:val="141414"/>
          <w:sz w:val="20"/>
        </w:rPr>
        <w:t>Későbbi mobil push értesítéshez használható esemény- és jogosultsági modell.</w:t>
      </w:r>
    </w:p>
    <w:p>
      <w:pPr>
        <w:pStyle w:val="Heading2"/>
        <w:keepNext/>
      </w:pPr>
      <w:r>
        <w:rPr>
          <w:rFonts w:ascii="Aptos" w:hAnsi="Aptos"/>
          <w:b/>
          <w:i w:val="0"/>
          <w:color w:val="2D2D2D"/>
          <w:sz w:val="22"/>
        </w:rPr>
        <w:t>8.3. Analitika</w:t>
      </w:r>
    </w:p>
    <w:p>
      <w:pPr>
        <w:pStyle w:val="SpecBullet"/>
        <w:ind w:left="369" w:hanging="198"/>
      </w:pPr>
      <w:r>
        <w:rPr>
          <w:rFonts w:ascii="Aptos" w:hAnsi="Aptos"/>
          <w:b/>
          <w:i w:val="0"/>
          <w:color w:val="961419"/>
          <w:sz w:val="20"/>
        </w:rPr>
        <w:t xml:space="preserve">• </w:t>
      </w:r>
      <w:r>
        <w:rPr>
          <w:rFonts w:ascii="Aptos" w:hAnsi="Aptos"/>
          <w:b w:val="0"/>
          <w:i w:val="0"/>
          <w:color w:val="141414"/>
          <w:sz w:val="20"/>
        </w:rPr>
        <w:t>Látogatók, regisztrációk, aktivitás, előfizetések és tartalomfogyasztás alapmutatói.</w:t>
      </w:r>
    </w:p>
    <w:p>
      <w:pPr>
        <w:pStyle w:val="SpecBullet"/>
        <w:ind w:left="369" w:hanging="198"/>
      </w:pPr>
      <w:r>
        <w:rPr>
          <w:rFonts w:ascii="Aptos" w:hAnsi="Aptos"/>
          <w:b/>
          <w:i w:val="0"/>
          <w:color w:val="961419"/>
          <w:sz w:val="20"/>
        </w:rPr>
        <w:t xml:space="preserve">• </w:t>
      </w:r>
      <w:r>
        <w:rPr>
          <w:rFonts w:ascii="Aptos" w:hAnsi="Aptos"/>
          <w:b w:val="0"/>
          <w:i w:val="0"/>
          <w:color w:val="141414"/>
          <w:sz w:val="20"/>
        </w:rPr>
        <w:t>Élő és visszanézett műsorok nézettségi adatai az elérhető szolgáltatói adatok alapján.</w:t>
      </w:r>
    </w:p>
    <w:p>
      <w:pPr>
        <w:pStyle w:val="SpecBullet"/>
        <w:ind w:left="369" w:hanging="198"/>
      </w:pPr>
      <w:r>
        <w:rPr>
          <w:rFonts w:ascii="Aptos" w:hAnsi="Aptos"/>
          <w:b/>
          <w:i w:val="0"/>
          <w:color w:val="961419"/>
          <w:sz w:val="20"/>
        </w:rPr>
        <w:t xml:space="preserve">• </w:t>
      </w:r>
      <w:r>
        <w:rPr>
          <w:rFonts w:ascii="Aptos" w:hAnsi="Aptos"/>
          <w:b w:val="0"/>
          <w:i w:val="0"/>
          <w:color w:val="141414"/>
          <w:sz w:val="20"/>
        </w:rPr>
        <w:t>Szavazások, interakciók, értesítések és kampányok teljesítménye.</w:t>
      </w:r>
    </w:p>
    <w:p>
      <w:pPr>
        <w:pStyle w:val="SpecBullet"/>
        <w:ind w:left="369" w:hanging="198"/>
      </w:pPr>
      <w:r>
        <w:rPr>
          <w:rFonts w:ascii="Aptos" w:hAnsi="Aptos"/>
          <w:b/>
          <w:i w:val="0"/>
          <w:color w:val="961419"/>
          <w:sz w:val="20"/>
        </w:rPr>
        <w:t xml:space="preserve">• </w:t>
      </w:r>
      <w:r>
        <w:rPr>
          <w:rFonts w:ascii="Aptos" w:hAnsi="Aptos"/>
          <w:b w:val="0"/>
          <w:i w:val="0"/>
          <w:color w:val="141414"/>
          <w:sz w:val="20"/>
        </w:rPr>
        <w:t>Adatvédelmi beállításokhoz igazodó mérés és szükséges hozzájárulás-kezelés.</w:t>
      </w:r>
    </w:p>
    <w:p>
      <w:pPr>
        <w:pStyle w:val="Heading1"/>
        <w:keepNext/>
      </w:pPr>
      <w:r>
        <w:rPr>
          <w:rFonts w:ascii="Aptos" w:hAnsi="Aptos"/>
          <w:b/>
          <w:i w:val="0"/>
          <w:color w:val="961419"/>
          <w:sz w:val="26"/>
        </w:rPr>
        <w:t>9. Nem funkcionális követelmények</w:t>
      </w:r>
    </w:p>
    <w:tbl>
      <w:tblPr>
        <w:tblStyle w:val="TableGrid"/>
        <w:tblW w:type="dxa" w:w="9467"/>
        <w:jc w:val="center"/>
        <w:tblLayout w:type="fixed"/>
        <w:tblLook w:firstColumn="1" w:firstRow="1" w:lastColumn="0" w:lastRow="0" w:noHBand="0" w:noVBand="1" w:val="04A0"/>
      </w:tblPr>
      <w:tblGrid>
        <w:gridCol w:w="4734"/>
        <w:gridCol w:w="4734"/>
      </w:tblGrid>
      <w:tr>
        <w:trPr>
          <w:cantSplit/>
        </w:trPr>
        <w:tc>
          <w:tcPr>
            <w:tcW w:type="dxa" w:w="2267"/>
            <w:shd w:fill="EDEDED"/>
            <w:tcMar>
              <w:top w:w="110" w:type="dxa"/>
              <w:start w:w="120" w:type="dxa"/>
              <w:bottom w:w="110" w:type="dxa"/>
              <w:end w:w="120" w:type="dxa"/>
            </w:tcMar>
            <w:vAlign w:val="center"/>
          </w:tcPr>
          <w:p>
            <w:pPr>
              <w:spacing w:after="0"/>
            </w:pPr>
            <w:r/>
            <w:r>
              <w:rPr>
                <w:rFonts w:ascii="Aptos" w:hAnsi="Aptos"/>
                <w:b/>
                <w:i w:val="0"/>
                <w:color w:val="961419"/>
                <w:sz w:val="18"/>
              </w:rPr>
              <w:t>Követelmény</w:t>
            </w:r>
          </w:p>
        </w:tc>
        <w:tc>
          <w:tcPr>
            <w:tcW w:type="dxa" w:w="7200"/>
            <w:shd w:fill="EDEDED"/>
            <w:tcMar>
              <w:top w:w="110" w:type="dxa"/>
              <w:start w:w="120" w:type="dxa"/>
              <w:bottom w:w="110" w:type="dxa"/>
              <w:end w:w="120" w:type="dxa"/>
            </w:tcMar>
            <w:vAlign w:val="center"/>
          </w:tcPr>
          <w:p>
            <w:pPr>
              <w:spacing w:after="0"/>
            </w:pPr>
            <w:r/>
            <w:r>
              <w:rPr>
                <w:rFonts w:ascii="Aptos" w:hAnsi="Aptos"/>
                <w:b/>
                <w:i w:val="0"/>
                <w:color w:val="961419"/>
                <w:sz w:val="18"/>
              </w:rPr>
              <w:t>Elvárt műszaki szint</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Teljesítmény</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Optimalizált betöltés, képméretezés, gyorsítótárazás és a kritikus publikus oldalak megfelelő mobilsebessége.</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Kapacitás</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Legalább 3 000–5 000 egyidejű felhasználóra tervezett architektúra; terhelés alatt horizontálisan vagy szolgáltatási csomaggal bővíthető.</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Biztonság</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Titkosított HTTPS kapcsolat, biztonságos hitelesítés, hozzáférés-szabályozás, bemenetellenőrzés és biztonságos konfigurációkezelés.</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Adatvédelem</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Adatminimalizálás, célhoz kötöttség, hozzájárulások nyilvántartása, törlési és hozzáférési folyamat műszaki támogatása.</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SEO</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Indexelhető publikus oldalak, szerkeszthető metaadatok, oldaltérkép, kanonikus hivatkozások és strukturált közösségi előnézet.</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Megbízhatóság</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Hibák naplózása, alapmonitorozás, rendszeres adatmentés és dokumentált visszaállítási lehetőség.</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Kompatibilitás</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A kiadáskor támogatott főbb Chrome, Edge, Firefox és Safari verziók; Android és iOS mobilböngészők.</w:t>
            </w:r>
          </w:p>
        </w:tc>
      </w:tr>
    </w:tbl>
    <w:p>
      <w:pPr>
        <w:spacing w:after="20"/>
      </w:pPr>
    </w:p>
    <w:p>
      <w:pPr>
        <w:pStyle w:val="Heading1"/>
        <w:keepNext/>
      </w:pPr>
      <w:r>
        <w:rPr>
          <w:rFonts w:ascii="Aptos" w:hAnsi="Aptos"/>
          <w:b/>
          <w:i w:val="0"/>
          <w:color w:val="961419"/>
          <w:sz w:val="26"/>
        </w:rPr>
        <w:t>10. Mobil- és televíziós alkalmazások műszaki elvei</w:t>
      </w:r>
    </w:p>
    <w:p>
      <w:pPr>
        <w:keepLines/>
        <w:spacing w:after="100" w:line="269" w:lineRule="auto"/>
      </w:pPr>
      <w:r>
        <w:rPr>
          <w:rFonts w:ascii="Aptos" w:hAnsi="Aptos"/>
          <w:b w:val="0"/>
          <w:i w:val="0"/>
          <w:color w:val="141414"/>
          <w:sz w:val="20"/>
        </w:rPr>
        <w:t>A III. Fejlesztési Fázisban minden célplatform önálló fejlesztési és átadási egység. A platformonkénti nettó 80 000 Ft + ÁFA díj PWA-alapú, WebView- vagy más cross-platform technológiával csomagolt kliensalkalmazásra vonatkozik, nem teljesen önálló natív kódbázis fejlesztésére. Az Android, iOS, Android TV, Apple TV, Samsung Tizen és LG webOS változatok közös EFU szolgáltatási réteget és jogosultságkezelést használnak. Ha valamely platform kizárólag natív fejlesztéssel teljesíthető, az külön hatókör és külön írásbeli díjmegállapodás tárgya.</w:t>
      </w:r>
    </w:p>
    <w:p>
      <w:pPr>
        <w:pStyle w:val="SpecBullet"/>
        <w:ind w:left="369" w:hanging="198"/>
      </w:pPr>
      <w:r>
        <w:rPr>
          <w:rFonts w:ascii="Aptos" w:hAnsi="Aptos"/>
          <w:b/>
          <w:i w:val="0"/>
          <w:color w:val="961419"/>
          <w:sz w:val="20"/>
        </w:rPr>
        <w:t xml:space="preserve">• </w:t>
      </w:r>
      <w:r>
        <w:rPr>
          <w:rFonts w:ascii="Aptos" w:hAnsi="Aptos"/>
          <w:b w:val="0"/>
          <w:i w:val="0"/>
          <w:color w:val="141414"/>
          <w:sz w:val="20"/>
        </w:rPr>
        <w:t>Közös felhasználói fiók és előfizetési jogosultságok, ahol ezt a platformszabályok lehetővé teszik.</w:t>
      </w:r>
    </w:p>
    <w:p>
      <w:pPr>
        <w:pStyle w:val="SpecBullet"/>
        <w:ind w:left="369" w:hanging="198"/>
      </w:pPr>
      <w:r>
        <w:rPr>
          <w:rFonts w:ascii="Aptos" w:hAnsi="Aptos"/>
          <w:b/>
          <w:i w:val="0"/>
          <w:color w:val="961419"/>
          <w:sz w:val="20"/>
        </w:rPr>
        <w:t xml:space="preserve">• </w:t>
      </w:r>
      <w:r>
        <w:rPr>
          <w:rFonts w:ascii="Aptos" w:hAnsi="Aptos"/>
          <w:b w:val="0"/>
          <w:i w:val="0"/>
          <w:color w:val="141414"/>
          <w:sz w:val="20"/>
        </w:rPr>
        <w:t>Élő és visszanézhető médiatartalmak, platformhoz illeszkedő lejátszóvezérléssel.</w:t>
      </w:r>
    </w:p>
    <w:p>
      <w:pPr>
        <w:pStyle w:val="SpecBullet"/>
        <w:ind w:left="369" w:hanging="198"/>
      </w:pPr>
      <w:r>
        <w:rPr>
          <w:rFonts w:ascii="Aptos" w:hAnsi="Aptos"/>
          <w:b/>
          <w:i w:val="0"/>
          <w:color w:val="961419"/>
          <w:sz w:val="20"/>
        </w:rPr>
        <w:t xml:space="preserve">• </w:t>
      </w:r>
      <w:r>
        <w:rPr>
          <w:rFonts w:ascii="Aptos" w:hAnsi="Aptos"/>
          <w:b w:val="0"/>
          <w:i w:val="0"/>
          <w:color w:val="141414"/>
          <w:sz w:val="20"/>
        </w:rPr>
        <w:t>Mobilon értesítések és interakciók; televíziós felületen távirányítóval kezelhető navigáció.</w:t>
      </w:r>
    </w:p>
    <w:p>
      <w:pPr>
        <w:pStyle w:val="SpecBullet"/>
        <w:ind w:left="369" w:hanging="198"/>
      </w:pPr>
      <w:r>
        <w:rPr>
          <w:rFonts w:ascii="Aptos" w:hAnsi="Aptos"/>
          <w:b/>
          <w:i w:val="0"/>
          <w:color w:val="961419"/>
          <w:sz w:val="20"/>
        </w:rPr>
        <w:t xml:space="preserve">• </w:t>
      </w:r>
      <w:r>
        <w:rPr>
          <w:rFonts w:ascii="Aptos" w:hAnsi="Aptos"/>
          <w:b w:val="0"/>
          <w:i w:val="0"/>
          <w:color w:val="141414"/>
          <w:sz w:val="20"/>
        </w:rPr>
        <w:t>Áruházi adatlapok, képek, leírások, fejlesztői fiókok és díjak biztosítása a Megrendelő feladata.</w:t>
      </w:r>
    </w:p>
    <w:p>
      <w:pPr>
        <w:pStyle w:val="SpecBullet"/>
        <w:ind w:left="369" w:hanging="198"/>
      </w:pPr>
      <w:r>
        <w:rPr>
          <w:rFonts w:ascii="Aptos" w:hAnsi="Aptos"/>
          <w:b/>
          <w:i w:val="0"/>
          <w:color w:val="961419"/>
          <w:sz w:val="20"/>
        </w:rPr>
        <w:t xml:space="preserve">• </w:t>
      </w:r>
      <w:r>
        <w:rPr>
          <w:rFonts w:ascii="Aptos" w:hAnsi="Aptos"/>
          <w:b w:val="0"/>
          <w:i w:val="0"/>
          <w:color w:val="141414"/>
          <w:sz w:val="20"/>
        </w:rPr>
        <w:t>A díj platformonként egy első áruházi benyújtás technikai előkészítését és – ha Megrendelő a szükséges fejlesztői hozzáférést biztosítja – a benyújtás végrehajtását tartalmazza. Az áruházi jóváhagyás harmadik fél döntése; annak időtartamáért és eredményéért Vállalkozó nem vállal eredménykötelezettséget, de a saját hibájából eredő technikai kifogásokat kijavítja.</w:t>
      </w:r>
    </w:p>
    <w:p>
      <w:pPr>
        <w:pStyle w:val="Heading1"/>
        <w:keepNext/>
      </w:pPr>
      <w:r>
        <w:rPr>
          <w:rFonts w:ascii="Aptos" w:hAnsi="Aptos"/>
          <w:b/>
          <w:i w:val="0"/>
          <w:color w:val="961419"/>
          <w:sz w:val="26"/>
        </w:rPr>
        <w:t>11. Adatmodell és integrációs alapelvek</w:t>
      </w:r>
    </w:p>
    <w:tbl>
      <w:tblPr>
        <w:tblStyle w:val="TableGrid"/>
        <w:tblW w:type="dxa" w:w="9467"/>
        <w:jc w:val="center"/>
        <w:tblLayout w:type="fixed"/>
        <w:tblLook w:firstColumn="1" w:firstRow="1" w:lastColumn="0" w:lastRow="0" w:noHBand="0" w:noVBand="1" w:val="04A0"/>
      </w:tblPr>
      <w:tblGrid>
        <w:gridCol w:w="4734"/>
        <w:gridCol w:w="4734"/>
      </w:tblGrid>
      <w:tr>
        <w:trPr>
          <w:cantSplit/>
        </w:trPr>
        <w:tc>
          <w:tcPr>
            <w:tcW w:type="dxa" w:w="2267"/>
            <w:shd w:fill="EDEDED"/>
            <w:tcMar>
              <w:top w:w="110" w:type="dxa"/>
              <w:start w:w="120" w:type="dxa"/>
              <w:bottom w:w="110" w:type="dxa"/>
              <w:end w:w="120" w:type="dxa"/>
            </w:tcMar>
            <w:vAlign w:val="center"/>
          </w:tcPr>
          <w:p>
            <w:pPr>
              <w:spacing w:after="0"/>
            </w:pPr>
            <w:r/>
            <w:r>
              <w:rPr>
                <w:rFonts w:ascii="Aptos" w:hAnsi="Aptos"/>
                <w:b/>
                <w:i w:val="0"/>
                <w:color w:val="961419"/>
                <w:sz w:val="18"/>
              </w:rPr>
              <w:t>Fő entitás</w:t>
            </w:r>
          </w:p>
        </w:tc>
        <w:tc>
          <w:tcPr>
            <w:tcW w:type="dxa" w:w="7200"/>
            <w:shd w:fill="EDEDED"/>
            <w:tcMar>
              <w:top w:w="110" w:type="dxa"/>
              <w:start w:w="120" w:type="dxa"/>
              <w:bottom w:w="110" w:type="dxa"/>
              <w:end w:w="120" w:type="dxa"/>
            </w:tcMar>
            <w:vAlign w:val="center"/>
          </w:tcPr>
          <w:p>
            <w:pPr>
              <w:spacing w:after="0"/>
            </w:pPr>
            <w:r/>
            <w:r>
              <w:rPr>
                <w:rFonts w:ascii="Aptos" w:hAnsi="Aptos"/>
                <w:b/>
                <w:i w:val="0"/>
                <w:color w:val="961419"/>
                <w:sz w:val="18"/>
              </w:rPr>
              <w:t>Kapcsolódó adatok</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Felhasználó</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Profil, hitelesítési állapot, nyelv, hozzájárulások, szerepkörök, értesítési beállítások.</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Harcos</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Bemutatkozás, sportadatok, mérleg, média, események és EFU-életút.</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Jelentkezés</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Beküldött adatok, nyilatkozatok, csatolmányok, státusz, belső megjegyzések és eseménynapló.</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Médiatartalom</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Típus, cím, leírás, fájl vagy szolgáltatói azonosító, jogosultság, nyelv, publikálási idő.</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Esemény</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Reality-epizód, Fight Night, közvetítés, Fight Card, résztvevők, időpontok és eredmények.</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Előfizetés</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Csomag, szolgáltatói hivatkozás, állapot, kezdés, lejárat és hozzáférési szint.</w:t>
            </w:r>
          </w:p>
        </w:tc>
      </w:tr>
      <w:tr>
        <w:trPr>
          <w:cantSplit/>
        </w:trPr>
        <w:tc>
          <w:tcPr>
            <w:tcW w:type="dxa" w:w="2267"/>
            <w:tcMar>
              <w:top w:w="90" w:type="dxa"/>
              <w:start w:w="120" w:type="dxa"/>
              <w:bottom w:w="90" w:type="dxa"/>
              <w:end w:w="120" w:type="dxa"/>
            </w:tcMar>
            <w:vAlign w:val="center"/>
          </w:tcPr>
          <w:p>
            <w:pPr>
              <w:spacing w:after="0" w:line="252" w:lineRule="auto"/>
            </w:pPr>
            <w:r/>
            <w:r>
              <w:rPr>
                <w:rFonts w:ascii="Aptos" w:hAnsi="Aptos"/>
                <w:b/>
                <w:i w:val="0"/>
                <w:color w:val="141414"/>
                <w:sz w:val="18"/>
              </w:rPr>
              <w:t>Interakció</w:t>
            </w:r>
          </w:p>
        </w:tc>
        <w:tc>
          <w:tcPr>
            <w:tcW w:type="dxa" w:w="7200"/>
            <w:tcMar>
              <w:top w:w="90" w:type="dxa"/>
              <w:start w:w="120" w:type="dxa"/>
              <w:bottom w:w="90" w:type="dxa"/>
              <w:end w:w="120" w:type="dxa"/>
            </w:tcMar>
            <w:vAlign w:val="center"/>
          </w:tcPr>
          <w:p>
            <w:pPr>
              <w:spacing w:after="0" w:line="252" w:lineRule="auto"/>
            </w:pPr>
            <w:r/>
            <w:r>
              <w:rPr>
                <w:rFonts w:ascii="Aptos" w:hAnsi="Aptos"/>
                <w:b w:val="0"/>
                <w:i w:val="0"/>
                <w:color w:val="141414"/>
                <w:sz w:val="18"/>
              </w:rPr>
              <w:t>Szavazás, válaszlehetőség, időablak, jogosultság, eredmény, jutalom vagy fizikai vezérlési esemény.</w:t>
            </w:r>
          </w:p>
        </w:tc>
      </w:tr>
    </w:tbl>
    <w:p>
      <w:pPr>
        <w:spacing w:after="20"/>
      </w:pPr>
    </w:p>
    <w:p>
      <w:pPr>
        <w:keepLines/>
        <w:spacing w:after="100" w:line="269" w:lineRule="auto"/>
      </w:pPr>
      <w:r>
        <w:rPr>
          <w:rFonts w:ascii="Aptos" w:hAnsi="Aptos"/>
          <w:b w:val="0"/>
          <w:i w:val="0"/>
          <w:color w:val="141414"/>
          <w:sz w:val="20"/>
        </w:rPr>
        <w:t>Külső szolgáltatások bekötése dokumentált API-kon, webhookokon vagy szolgáltatói SDK-kon keresztül történik. A hitelesítő kulcsok nem kerülhetnek publikus forráskódba. A bejövő eseményeknél ellenőrizni kell a hitelességet, az ismételt feldolgozás elleni védelmet és a hibák naplózását.</w:t>
      </w:r>
    </w:p>
    <w:p>
      <w:pPr>
        <w:pStyle w:val="Heading1"/>
        <w:keepNext/>
      </w:pPr>
      <w:r>
        <w:rPr>
          <w:rFonts w:ascii="Aptos" w:hAnsi="Aptos"/>
          <w:b/>
          <w:i w:val="0"/>
          <w:color w:val="961419"/>
          <w:sz w:val="26"/>
        </w:rPr>
        <w:t>12. Átadandó műszaki eredmények</w:t>
      </w:r>
    </w:p>
    <w:p>
      <w:pPr>
        <w:pStyle w:val="SpecBullet"/>
        <w:ind w:left="369" w:hanging="198"/>
      </w:pPr>
      <w:r>
        <w:rPr>
          <w:rFonts w:ascii="Aptos" w:hAnsi="Aptos"/>
          <w:b/>
          <w:i w:val="0"/>
          <w:color w:val="961419"/>
          <w:sz w:val="20"/>
        </w:rPr>
        <w:t xml:space="preserve">• </w:t>
      </w:r>
      <w:r>
        <w:rPr>
          <w:rFonts w:ascii="Aptos" w:hAnsi="Aptos"/>
          <w:b w:val="0"/>
          <w:i w:val="0"/>
          <w:color w:val="141414"/>
          <w:sz w:val="20"/>
        </w:rPr>
        <w:t>A megvalósított fejlesztési egységek teljes forráskódja verziótörténettel vagy átadáskori rendezett állapotban.</w:t>
      </w:r>
    </w:p>
    <w:p>
      <w:pPr>
        <w:pStyle w:val="SpecBullet"/>
        <w:ind w:left="369" w:hanging="198"/>
      </w:pPr>
      <w:r>
        <w:rPr>
          <w:rFonts w:ascii="Aptos" w:hAnsi="Aptos"/>
          <w:b/>
          <w:i w:val="0"/>
          <w:color w:val="961419"/>
          <w:sz w:val="20"/>
        </w:rPr>
        <w:t xml:space="preserve">• </w:t>
      </w:r>
      <w:r>
        <w:rPr>
          <w:rFonts w:ascii="Aptos" w:hAnsi="Aptos"/>
          <w:b w:val="0"/>
          <w:i w:val="0"/>
          <w:color w:val="141414"/>
          <w:sz w:val="20"/>
        </w:rPr>
        <w:t>Adatbázis-séma, migrációk és az élesítéshez szükséges konfigurációs minta.</w:t>
      </w:r>
    </w:p>
    <w:p>
      <w:pPr>
        <w:pStyle w:val="SpecBullet"/>
        <w:ind w:left="369" w:hanging="198"/>
      </w:pPr>
      <w:r>
        <w:rPr>
          <w:rFonts w:ascii="Aptos" w:hAnsi="Aptos"/>
          <w:b/>
          <w:i w:val="0"/>
          <w:color w:val="961419"/>
          <w:sz w:val="20"/>
        </w:rPr>
        <w:t xml:space="preserve">• </w:t>
      </w:r>
      <w:r>
        <w:rPr>
          <w:rFonts w:ascii="Aptos" w:hAnsi="Aptos"/>
          <w:b w:val="0"/>
          <w:i w:val="0"/>
          <w:color w:val="141414"/>
          <w:sz w:val="20"/>
        </w:rPr>
        <w:t>Telepítési és üzemeltetési leírás, valamint a szükséges külső szolgáltatások jegyzéke.</w:t>
      </w:r>
    </w:p>
    <w:p>
      <w:pPr>
        <w:pStyle w:val="SpecBullet"/>
        <w:ind w:left="369" w:hanging="198"/>
      </w:pPr>
      <w:r>
        <w:rPr>
          <w:rFonts w:ascii="Aptos" w:hAnsi="Aptos"/>
          <w:b/>
          <w:i w:val="0"/>
          <w:color w:val="961419"/>
          <w:sz w:val="20"/>
        </w:rPr>
        <w:t xml:space="preserve">• </w:t>
      </w:r>
      <w:r>
        <w:rPr>
          <w:rFonts w:ascii="Aptos" w:hAnsi="Aptos"/>
          <w:b w:val="0"/>
          <w:i w:val="0"/>
          <w:color w:val="141414"/>
          <w:sz w:val="20"/>
        </w:rPr>
        <w:t>Rendszeradminisztrátori hozzáférések és a Megrendelő kezelésébe kerülő szolgáltatói hozzáférések.</w:t>
      </w:r>
    </w:p>
    <w:p>
      <w:pPr>
        <w:pStyle w:val="SpecBullet"/>
        <w:ind w:left="369" w:hanging="198"/>
      </w:pPr>
      <w:r>
        <w:rPr>
          <w:rFonts w:ascii="Aptos" w:hAnsi="Aptos"/>
          <w:b/>
          <w:i w:val="0"/>
          <w:color w:val="961419"/>
          <w:sz w:val="20"/>
        </w:rPr>
        <w:t xml:space="preserve">• </w:t>
      </w:r>
      <w:r>
        <w:rPr>
          <w:rFonts w:ascii="Aptos" w:hAnsi="Aptos"/>
          <w:b w:val="0"/>
          <w:i w:val="0"/>
          <w:color w:val="141414"/>
          <w:sz w:val="20"/>
        </w:rPr>
        <w:t>Felhasználói és adminisztrátori alapdokumentáció az átadott funkciókhoz.</w:t>
      </w:r>
    </w:p>
    <w:p>
      <w:pPr>
        <w:pStyle w:val="SpecBullet"/>
        <w:ind w:left="369" w:hanging="198"/>
      </w:pPr>
      <w:r>
        <w:rPr>
          <w:rFonts w:ascii="Aptos" w:hAnsi="Aptos"/>
          <w:b/>
          <w:i w:val="0"/>
          <w:color w:val="961419"/>
          <w:sz w:val="20"/>
        </w:rPr>
        <w:t xml:space="preserve">• </w:t>
      </w:r>
      <w:r>
        <w:rPr>
          <w:rFonts w:ascii="Aptos" w:hAnsi="Aptos"/>
          <w:b w:val="0"/>
          <w:i w:val="0"/>
          <w:color w:val="141414"/>
          <w:sz w:val="20"/>
        </w:rPr>
        <w:t>Elfogadási ellenőrző lista, ismert korlátozások és – ha van – nyitott hibák jegyzéke.</w:t>
      </w:r>
    </w:p>
    <w:p>
      <w:pPr>
        <w:pStyle w:val="SpecBullet"/>
        <w:ind w:left="369" w:hanging="198"/>
      </w:pPr>
      <w:r>
        <w:rPr>
          <w:rFonts w:ascii="Aptos" w:hAnsi="Aptos"/>
          <w:b/>
          <w:i w:val="0"/>
          <w:color w:val="961419"/>
          <w:sz w:val="20"/>
        </w:rPr>
        <w:t xml:space="preserve">• </w:t>
      </w:r>
      <w:r>
        <w:rPr>
          <w:rFonts w:ascii="Aptos" w:hAnsi="Aptos"/>
          <w:b w:val="0"/>
          <w:i w:val="0"/>
          <w:color w:val="141414"/>
          <w:sz w:val="20"/>
        </w:rPr>
        <w:t>Go-Live keretében az I. Fejlesztési Fázis használatra kész élesítése a Megrendelő által biztosított vagy jóváhagyott infrastruktúrán.</w:t>
      </w:r>
    </w:p>
    <w:p>
      <w:pPr>
        <w:pStyle w:val="Heading2"/>
        <w:keepNext/>
      </w:pPr>
      <w:r>
        <w:rPr>
          <w:rFonts w:ascii="Aptos" w:hAnsi="Aptos"/>
          <w:b/>
          <w:i w:val="0"/>
          <w:color w:val="2D2D2D"/>
          <w:sz w:val="22"/>
        </w:rPr>
        <w:t>12.1. Harmadik féltől származó és nyílt forráskódú komponensek jegyzéke</w:t>
      </w:r>
    </w:p>
    <w:p>
      <w:pPr>
        <w:keepLines/>
        <w:spacing w:after="100" w:line="269" w:lineRule="auto"/>
      </w:pPr>
      <w:r>
        <w:rPr>
          <w:rFonts w:ascii="Aptos" w:hAnsi="Aptos"/>
          <w:b w:val="0"/>
          <w:i w:val="0"/>
          <w:color w:val="141414"/>
          <w:sz w:val="20"/>
        </w:rPr>
        <w:t>Vállalkozó minden mérföldkő átadásakor géppel feldolgozható és ember által olvasható komponensjegyzéket ad át. A jegyzék legalább a komponens nevét, verzióját, forrását, licenctípusát, felhasználási célját, közvetlen vagy közvetett függőségi jellegét, valamint az ismert közzétételi vagy licenckötelezettséget tartalmazza. Ismeretlen, rendezetlen licencű, illetve a teljes saját fejlesztésű kód kötelező nyilvánosságra hozatalát előíró komponens csak Megrendelő előzetes írásbeli engedélyével alkalmazható.</w:t>
      </w:r>
    </w:p>
    <w:p>
      <w:pPr>
        <w:pStyle w:val="Heading1"/>
        <w:keepNext/>
      </w:pPr>
      <w:r>
        <w:rPr>
          <w:rFonts w:ascii="Aptos" w:hAnsi="Aptos"/>
          <w:b/>
          <w:i w:val="0"/>
          <w:color w:val="961419"/>
          <w:sz w:val="26"/>
        </w:rPr>
        <w:t>13. Terjedelmi korlátok és Megrendelői közreműködés</w:t>
      </w:r>
    </w:p>
    <w:p>
      <w:pPr>
        <w:keepLines/>
        <w:spacing w:after="100" w:line="269" w:lineRule="auto"/>
      </w:pPr>
      <w:r>
        <w:rPr>
          <w:rFonts w:ascii="Aptos" w:hAnsi="Aptos"/>
          <w:b w:val="0"/>
          <w:i w:val="0"/>
          <w:color w:val="141414"/>
          <w:sz w:val="20"/>
        </w:rPr>
        <w:t>A jelen melléklet funkcionális és architekturális követelményeket rögzít. Nem része a fejlesztési feladatnak – külön írásbeli megállapodás hiányában – a műsorgyártás, videófelvétel és vágás, arculat és logó megalkotása, fordítás, jogi dokumentumok elkészítése, külső szolgáltatások díja, hardverbeszerzés, helyszíni kábelezés, fizikai vezérlőeszközök gyártása, illetve külső platformok által végzett jóváhagyás.</w:t>
      </w:r>
    </w:p>
    <w:p>
      <w:pPr>
        <w:pStyle w:val="SpecBullet"/>
        <w:ind w:left="369" w:hanging="198"/>
      </w:pPr>
      <w:r>
        <w:rPr>
          <w:rFonts w:ascii="Aptos" w:hAnsi="Aptos"/>
          <w:b/>
          <w:i w:val="0"/>
          <w:color w:val="961419"/>
          <w:sz w:val="20"/>
        </w:rPr>
        <w:t xml:space="preserve">• </w:t>
      </w:r>
      <w:r>
        <w:rPr>
          <w:rFonts w:ascii="Aptos" w:hAnsi="Aptos"/>
          <w:b w:val="0"/>
          <w:i w:val="0"/>
          <w:color w:val="141414"/>
          <w:sz w:val="20"/>
        </w:rPr>
        <w:t>A Megrendelő időben átadja a jóváhagyott logókat, arculati elemeket, szövegeket, képeket, videókat, fordításokat és jogi tájékoztatókat.</w:t>
      </w:r>
    </w:p>
    <w:p>
      <w:pPr>
        <w:pStyle w:val="SpecBullet"/>
        <w:ind w:left="369" w:hanging="198"/>
      </w:pPr>
      <w:r>
        <w:rPr>
          <w:rFonts w:ascii="Aptos" w:hAnsi="Aptos"/>
          <w:b/>
          <w:i w:val="0"/>
          <w:color w:val="961419"/>
          <w:sz w:val="20"/>
        </w:rPr>
        <w:t xml:space="preserve">• </w:t>
      </w:r>
      <w:r>
        <w:rPr>
          <w:rFonts w:ascii="Aptos" w:hAnsi="Aptos"/>
          <w:b w:val="0"/>
          <w:i w:val="0"/>
          <w:color w:val="141414"/>
          <w:sz w:val="20"/>
        </w:rPr>
        <w:t>A Megrendelő biztosítja vagy finanszírozza a szükséges tárhely-, domain-, e-mail-, fizetési, közvetítési és egyéb szolgáltatói fiókokat.</w:t>
      </w:r>
    </w:p>
    <w:p>
      <w:pPr>
        <w:pStyle w:val="SpecBullet"/>
        <w:ind w:left="369" w:hanging="198"/>
      </w:pPr>
      <w:r>
        <w:rPr>
          <w:rFonts w:ascii="Aptos" w:hAnsi="Aptos"/>
          <w:b/>
          <w:i w:val="0"/>
          <w:color w:val="961419"/>
          <w:sz w:val="20"/>
        </w:rPr>
        <w:t xml:space="preserve">• </w:t>
      </w:r>
      <w:r>
        <w:rPr>
          <w:rFonts w:ascii="Aptos" w:hAnsi="Aptos"/>
          <w:b w:val="0"/>
          <w:i w:val="0"/>
          <w:color w:val="141414"/>
          <w:sz w:val="20"/>
        </w:rPr>
        <w:t>A Megrendelő kijelöli a döntésre és jóváhagyásra jogosult kapcsolattartót, és a szerződésben meghatározott határidőben visszajelez.</w:t>
      </w:r>
    </w:p>
    <w:p>
      <w:pPr>
        <w:pStyle w:val="SpecBullet"/>
        <w:ind w:left="369" w:hanging="198"/>
      </w:pPr>
      <w:r>
        <w:rPr>
          <w:rFonts w:ascii="Aptos" w:hAnsi="Aptos"/>
          <w:b/>
          <w:i w:val="0"/>
          <w:color w:val="961419"/>
          <w:sz w:val="20"/>
        </w:rPr>
        <w:t xml:space="preserve">• </w:t>
      </w:r>
      <w:r>
        <w:rPr>
          <w:rFonts w:ascii="Aptos" w:hAnsi="Aptos"/>
          <w:b w:val="0"/>
          <w:i w:val="0"/>
          <w:color w:val="141414"/>
          <w:sz w:val="20"/>
        </w:rPr>
        <w:t>Az I. és II. fázis pontos mérföldköveit és elfogadási folyamatát a 2. számú melléklet rögzíti.</w:t>
      </w:r>
    </w:p>
    <w:p>
      <w:pPr>
        <w:pStyle w:val="Heading1"/>
        <w:keepNext/>
      </w:pPr>
      <w:r>
        <w:rPr>
          <w:rFonts w:ascii="Aptos" w:hAnsi="Aptos"/>
          <w:b/>
          <w:i w:val="0"/>
          <w:color w:val="961419"/>
          <w:sz w:val="26"/>
        </w:rPr>
        <w:t>14. Elsőbbségi és változáskezelési szabály</w:t>
      </w:r>
    </w:p>
    <w:p>
      <w:pPr>
        <w:keepLines/>
        <w:spacing w:after="100" w:line="269" w:lineRule="auto"/>
      </w:pPr>
      <w:r>
        <w:rPr>
          <w:rFonts w:ascii="Aptos" w:hAnsi="Aptos"/>
          <w:b w:val="0"/>
          <w:i w:val="0"/>
          <w:color w:val="141414"/>
          <w:sz w:val="20"/>
        </w:rPr>
        <w:t>A jelen melléklet és a vállalkozási szerződés eltérése esetén a vállalkozási szerződés rendelkezései irányadók. A 2. számú melléklet a megvalósítás sorrendjét és az elfogadási mérföldköveket határozza meg. A jelen műszaki tartalom módosítása kizárólag a Felek írásbeli megállapodásával érvényes; az új funkció vagy lényeges technológiai változtatás hatókör-változásnak minősülhet.</w:t>
      </w:r>
    </w:p>
    <w:p>
      <w:pPr>
        <w:keepLines/>
        <w:spacing w:after="360" w:line="269" w:lineRule="auto"/>
      </w:pPr>
      <w:r>
        <w:rPr>
          <w:rFonts w:ascii="Aptos" w:hAnsi="Aptos"/>
          <w:b w:val="0"/>
          <w:i w:val="0"/>
          <w:color w:val="141414"/>
          <w:sz w:val="20"/>
        </w:rPr>
        <w:t>Kelt: ______________________________, 2026. __________________ hó ______ napján.</w:t>
      </w:r>
    </w:p>
    <w:tbl>
      <w:tblPr>
        <w:tblW w:type="dxa" w:w="9467"/>
        <w:jc w:val="center"/>
        <w:tblLayout w:type="fixed"/>
        <w:tblLook w:firstColumn="1" w:firstRow="1" w:lastColumn="0" w:lastRow="0" w:noHBand="0" w:noVBand="1" w:val="04A0"/>
      </w:tblPr>
      <w:tblGrid>
        <w:gridCol w:w="4734"/>
        <w:gridCol w:w="4734"/>
      </w:tblGrid>
      <w:tr>
        <w:tc>
          <w:tcPr>
            <w:tcW w:type="dxa" w:w="4733"/>
            <w:tcMar>
              <w:top w:w="260" w:type="dxa"/>
              <w:start w:w="150" w:type="dxa"/>
              <w:bottom w:w="80" w:type="dxa"/>
              <w:end w:w="150" w:type="dxa"/>
            </w:tcMar>
          </w:tcPr>
          <w:p>
            <w:pPr>
              <w:jc w:val="center"/>
            </w:pPr>
            <w:r/>
            <w:r>
              <w:rPr>
                <w:rFonts w:ascii="Aptos" w:hAnsi="Aptos"/>
                <w:b w:val="0"/>
                <w:i w:val="0"/>
                <w:color w:val="5A5A5A"/>
                <w:sz w:val="20"/>
              </w:rPr>
              <w:t>________________________________</w:t>
            </w:r>
          </w:p>
          <w:p>
            <w:pPr>
              <w:spacing w:after="20"/>
              <w:jc w:val="center"/>
            </w:pPr>
            <w:r>
              <w:rPr>
                <w:rFonts w:ascii="Aptos" w:hAnsi="Aptos"/>
                <w:b/>
                <w:i w:val="0"/>
                <w:color w:val="141414"/>
                <w:sz w:val="18"/>
              </w:rPr>
              <w:t>Megrendelő</w:t>
            </w:r>
          </w:p>
          <w:p>
            <w:pPr>
              <w:spacing w:after="20"/>
              <w:jc w:val="center"/>
            </w:pPr>
            <w:r>
              <w:rPr>
                <w:rFonts w:ascii="Aptos" w:hAnsi="Aptos"/>
                <w:b w:val="0"/>
                <w:i w:val="0"/>
                <w:color w:val="141414"/>
                <w:sz w:val="18"/>
              </w:rPr>
              <w:t>Art and Techno Kft.</w:t>
            </w:r>
          </w:p>
          <w:p>
            <w:pPr>
              <w:spacing w:after="20"/>
              <w:jc w:val="center"/>
            </w:pPr>
            <w:r>
              <w:rPr>
                <w:rFonts w:ascii="Aptos" w:hAnsi="Aptos"/>
                <w:b w:val="0"/>
                <w:i w:val="0"/>
                <w:color w:val="141414"/>
                <w:sz w:val="18"/>
              </w:rPr>
              <w:t>Varga Ferenc ügyvezető</w:t>
            </w:r>
          </w:p>
        </w:tc>
        <w:tc>
          <w:tcPr>
            <w:tcW w:type="dxa" w:w="4733"/>
            <w:tcMar>
              <w:top w:w="260" w:type="dxa"/>
              <w:start w:w="150" w:type="dxa"/>
              <w:bottom w:w="80" w:type="dxa"/>
              <w:end w:w="150" w:type="dxa"/>
            </w:tcMar>
          </w:tcPr>
          <w:p>
            <w:pPr>
              <w:jc w:val="center"/>
            </w:pPr>
            <w:r/>
            <w:r>
              <w:rPr>
                <w:rFonts w:ascii="Aptos" w:hAnsi="Aptos"/>
                <w:b w:val="0"/>
                <w:i w:val="0"/>
                <w:color w:val="5A5A5A"/>
                <w:sz w:val="20"/>
              </w:rPr>
              <w:t>________________________________</w:t>
            </w:r>
          </w:p>
          <w:p>
            <w:pPr>
              <w:spacing w:after="20"/>
              <w:jc w:val="center"/>
            </w:pPr>
            <w:r>
              <w:rPr>
                <w:rFonts w:ascii="Aptos" w:hAnsi="Aptos"/>
                <w:b/>
                <w:i w:val="0"/>
                <w:color w:val="141414"/>
                <w:sz w:val="18"/>
              </w:rPr>
              <w:t>Vállalkozó</w:t>
            </w:r>
          </w:p>
          <w:p>
            <w:pPr>
              <w:spacing w:after="20"/>
              <w:jc w:val="center"/>
            </w:pPr>
            <w:r>
              <w:rPr>
                <w:rFonts w:ascii="Aptos" w:hAnsi="Aptos"/>
                <w:b w:val="0"/>
                <w:i w:val="0"/>
                <w:color w:val="141414"/>
                <w:sz w:val="18"/>
              </w:rPr>
              <w:t>Szimulátor Technika Kft.</w:t>
            </w:r>
          </w:p>
          <w:p>
            <w:pPr>
              <w:spacing w:after="20"/>
              <w:jc w:val="center"/>
            </w:pPr>
            <w:r>
              <w:rPr>
                <w:rFonts w:ascii="Aptos" w:hAnsi="Aptos"/>
                <w:b w:val="0"/>
                <w:i w:val="0"/>
                <w:color w:val="141414"/>
                <w:sz w:val="18"/>
              </w:rPr>
              <w:t>Konyhás Krisztián</w:t>
            </w:r>
          </w:p>
        </w:tc>
      </w:tr>
    </w:tbl>
    <w:sectPr w:rsidR="00FC693F" w:rsidRPr="0006063C" w:rsidSect="00034616">
      <w:headerReference w:type="default" r:id="rId9"/>
      <w:footerReference w:type="default" r:id="rId10"/>
      <w:pgSz w:w="11906" w:h="16838"/>
      <w:pgMar w:top="1020" w:right="1219"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A5A5A"/>
        <w:sz w:val="16"/>
      </w:rPr>
      <w:t xml:space="preserve">EFU Műszaki Specifikáció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A5A5A"/>
        <w:sz w:val="17"/>
      </w:rPr>
      <w:t>ELITE FIGHT UNIVERSE  |  1. SZÁMÚ MELLÉKLET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Bullet">
    <w:name w:val="Spec Bullet"/>
    <w:pPr>
      <w:spacing w:after="60" w:line="259" w:lineRule="auto"/>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EFU 1. számú melléklet – Műszaki Specifikáció</dc:title>
  <dc:subject>Elite Fight Universe digitális platform műszaki rendszerterve</dc:subject>
  <dc:creator>Art and Techno Kft. és Szimulátor Technika Kft.</dc:creator>
  <cp:keywords/>
  <dc:description>generated by python-docx</dc:description>
  <cp:lastModifiedBy/>
  <cp:revision>1</cp:revision>
  <dcterms:created xsi:type="dcterms:W3CDTF">2013-12-23T23:15:00Z</dcterms:created>
  <dcterms:modified xsi:type="dcterms:W3CDTF">2013-12-23T23:15:00Z</dcterms:modified>
  <cp:category/>
</cp:coreProperties>
</file>