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Aptos" w:hAnsi="Aptos"/>
          <w:b/>
          <w:i w:val="0"/>
          <w:color w:val="961419"/>
          <w:sz w:val="32"/>
        </w:rPr>
        <w:t>2. SZÁMÚ MELLÉKLET</w:t>
      </w:r>
    </w:p>
    <w:p>
      <w:pPr>
        <w:spacing w:after="60"/>
        <w:jc w:val="center"/>
      </w:pPr>
      <w:r>
        <w:rPr>
          <w:rFonts w:ascii="Aptos" w:hAnsi="Aptos"/>
          <w:b/>
          <w:i w:val="0"/>
          <w:color w:val="141414"/>
          <w:sz w:val="40"/>
        </w:rPr>
        <w:t>EFU FEJLESZTÉSI ÜTEMTERV</w:t>
      </w:r>
    </w:p>
    <w:p>
      <w:pPr>
        <w:spacing w:after="360"/>
        <w:jc w:val="center"/>
      </w:pPr>
      <w:r>
        <w:rPr>
          <w:rFonts w:ascii="Aptos" w:hAnsi="Aptos"/>
          <w:b/>
          <w:i w:val="0"/>
          <w:color w:val="5A5A5A"/>
          <w:sz w:val="24"/>
        </w:rPr>
        <w:t>Fázisok, mérföldkövek és elfogadási kritériumok</w:t>
      </w:r>
    </w:p>
    <w:p>
      <w:pPr>
        <w:keepLines/>
        <w:spacing w:after="240" w:line="269" w:lineRule="auto"/>
      </w:pPr>
      <w:r>
        <w:rPr>
          <w:rFonts w:ascii="Aptos" w:hAnsi="Aptos"/>
          <w:b w:val="0"/>
          <w:i w:val="0"/>
          <w:color w:val="141414"/>
          <w:sz w:val="20"/>
        </w:rPr>
        <w:t>A jelen melléklet az Elite Fight Universe digitális platform fejlesztésére kötött vállalkozási szerződés elválaszthatatlan része. Meghatározza a fejlesztési fázisokat, a tervezett időtartamot, a mérföldköveket, a Megrendelő közreműködését, valamint az átadás és elfogadás rendjét.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961419"/>
          <w:sz w:val="26"/>
        </w:rPr>
        <w:t>1. Ütemezési alapelvek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Az I. Fejlesztési Fázis teljesítési határideje legfeljebb 15 munkanap, a II. Fejlesztési Fázisé legfeljebb 10 munkanap.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Az adott fázis kezdőnapja az a munkanap, amelyen annak díja jóváírásra került és a tételes indulási ellenőrző listán szereplő valamennyi szükséges Megrendelői anyag, döntés és hozzáférés hiánytalanul rendelkezésre áll. Vállalkozó a kezdőnapot 1 munkanapon belül írásban visszaigazolja.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munkahét öt munkanapot jelent; a munkaszüneti napok az ütemezésbe nem számítanak bele.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fázisokon belüli sorrend műszaki indokból módosítható, ha ez nem csökkenti az átadandó tartalmat és nem veszélyezteti az elfogadási határidőt.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határidő kizárólag igazolt Megrendelői késedelem, dokumentált külső szolgáltatói akadály, vis maior vagy a Felek által írásban elfogadott hatókör-változás időtartamával hosszabbodik. Vállalkozó az akadályt annak felismerésétől számított 1 munkanapon belül, okának és várható hatásának megjelölésével írásban jelzi; késedelmes jelzés esetén az akadályra csak a jelzés napjától hivatkozhat.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III. Fejlesztési Fázis minden platformja külön fejlesztési egység; kezdési időpontját és konkrét határidejét a külön írásbeli igénybejelentés rögzíti.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961419"/>
          <w:sz w:val="26"/>
        </w:rPr>
        <w:t>2. Összefoglaló fázisterv</w:t>
      </w:r>
    </w:p>
    <w:tbl>
      <w:tblPr>
        <w:tblStyle w:val="TableGrid"/>
        <w:tblW w:type="dxa" w:w="9467"/>
        <w:jc w:val="center"/>
        <w:tblLayout w:type="fixed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rPr>
          <w:cantSplit/>
        </w:trPr>
        <w:tc>
          <w:tcPr>
            <w:tcW w:type="dxa" w:w="1870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Fázis</w:t>
            </w:r>
          </w:p>
        </w:tc>
        <w:tc>
          <w:tcPr>
            <w:tcW w:type="dxa" w:w="1360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Tervezett idő</w:t>
            </w:r>
          </w:p>
        </w:tc>
        <w:tc>
          <w:tcPr>
            <w:tcW w:type="dxa" w:w="1644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Díj</w:t>
            </w:r>
          </w:p>
        </w:tc>
        <w:tc>
          <w:tcPr>
            <w:tcW w:type="dxa" w:w="2097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Indítás feltétele</w:t>
            </w:r>
          </w:p>
        </w:tc>
        <w:tc>
          <w:tcPr>
            <w:tcW w:type="dxa" w:w="2494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Fő eredmény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I. EFU Platform V1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Legfeljebb 15 munkanap</w:t>
            </w:r>
          </w:p>
        </w:tc>
        <w:tc>
          <w:tcPr>
            <w:tcW w:type="dxa" w:w="16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300 000 Ft + ÁFA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Szerződés, díj és induló anyagok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Publikus platform, alapfelhasználói funkciók, streamingfelület, alap admin és Go-Live.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II. Super Admin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Legfeljebb 10 munkanap</w:t>
            </w:r>
          </w:p>
        </w:tc>
        <w:tc>
          <w:tcPr>
            <w:tcW w:type="dxa" w:w="16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200 000 Ft + ÁFA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I. fázis elfogadása és II. fázis díja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Teljes adminisztráció, tartalomkezelés, szavazás, moderáció, interakció és vezérlőfelület.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III. Alkalmazások</w:t>
            </w:r>
          </w:p>
        </w:tc>
        <w:tc>
          <w:tcPr>
            <w:tcW w:type="dxa" w:w="1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Platformonként egyedileg</w:t>
            </w:r>
          </w:p>
        </w:tc>
        <w:tc>
          <w:tcPr>
            <w:tcW w:type="dxa" w:w="16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80 000 Ft + ÁFA / platform</w:t>
            </w:r>
          </w:p>
        </w:tc>
        <w:tc>
          <w:tcPr>
            <w:tcW w:type="dxa" w:w="20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Külön írásbeli igénybejelentés és díj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Android, iOS, Android TV, Apple TV, Samsung Tizen vagy LG webOS alkalmazás.</w:t>
            </w:r>
          </w:p>
        </w:tc>
      </w:tr>
    </w:tbl>
    <w:p>
      <w:pPr>
        <w:spacing w:after="20"/>
      </w:pPr>
    </w:p>
    <w:p>
      <w:pPr>
        <w:keepLines/>
        <w:spacing w:after="100" w:line="269" w:lineRule="auto"/>
      </w:pPr>
      <w:r>
        <w:rPr>
          <w:rFonts w:ascii="Aptos" w:hAnsi="Aptos"/>
          <w:b w:val="0"/>
          <w:i/>
          <w:color w:val="141414"/>
          <w:sz w:val="20"/>
        </w:rPr>
        <w:t>A fenti I–II. fázishatáridők kötelező teljesítési határidők. Meghosszabbításukra kizárólag az 1. pontban meghatározott, írásban igazolt akadály alapján kerülhet sor.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961419"/>
          <w:sz w:val="26"/>
        </w:rPr>
        <w:t>3. I. Fejlesztési Fázis – EFU Platform V1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2D2D2D"/>
          <w:sz w:val="22"/>
        </w:rPr>
        <w:t>3.1. Cél és díjazás</w:t>
      </w:r>
    </w:p>
    <w:p>
      <w:pPr>
        <w:keepLines/>
        <w:spacing w:after="100" w:line="269" w:lineRule="auto"/>
      </w:pPr>
      <w:r>
        <w:rPr>
          <w:rFonts w:ascii="Aptos" w:hAnsi="Aptos"/>
          <w:b w:val="0"/>
          <w:i w:val="0"/>
          <w:color w:val="141414"/>
          <w:sz w:val="20"/>
        </w:rPr>
        <w:t>Az I. Fejlesztési Fázis célja az EFU induló, használatra kész digitális platformjának létrehozása és élesítése. A fázis díja nettó 300 000 Ft + ÁFA, amely teljes egészében előre fizetendő. A Go-Live e díj részét képezi.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2D2D2D"/>
          <w:sz w:val="22"/>
        </w:rPr>
        <w:t>3.2. 1. hét – Alapok, architektúra és publikus felület</w:t>
      </w:r>
    </w:p>
    <w:tbl>
      <w:tblPr>
        <w:tblStyle w:val="TableGrid"/>
        <w:tblW w:type="dxa" w:w="9467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cantSplit/>
        </w:trPr>
        <w:tc>
          <w:tcPr>
            <w:tcW w:type="dxa" w:w="566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#</w:t>
            </w:r>
          </w:p>
        </w:tc>
        <w:tc>
          <w:tcPr>
            <w:tcW w:type="dxa" w:w="1870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Feladat / mérföldkő</w:t>
            </w:r>
          </w:p>
        </w:tc>
        <w:tc>
          <w:tcPr>
            <w:tcW w:type="dxa" w:w="4308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Tartalom</w:t>
            </w:r>
          </w:p>
        </w:tc>
        <w:tc>
          <w:tcPr>
            <w:tcW w:type="dxa" w:w="2721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Elfogadási bizonyíték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1.1.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Projektindítás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Hozzáférések, arculati és tartalmi anyagok ellenőrzése; technikai indulóállapot rögzítése.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Indulási ellenőrző lista és elérhető fejlesztési környezet.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1.2.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Rendszeralapok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Projektstruktúra, adatbázis, konfigurációk, környezetek és alapvető telepítési folyamat.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 fejlesztési környezet hibamentesen elindul; adatkapcsolat működik.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1.3.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Arculati felület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Fekete–fehér–piros vizuális rendszer, reszponzív fejléc, navigáció, lábléc és alapkomponensek.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Mobil- és asztali nézetben következetes, használható felület.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1.4.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Főoldal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Animált logó, hero videó, beágyazott média, visszaszámláló, kiemelt gombok és közösségi hivatkozások.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 jóváhagyott elemek megjelennek és működnek a tesztfelületen.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1.5.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Alapoldalak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Rólunk, EFU Reality, EFU Fight Night, Harcosok, Hírek, Szponzorok, Kapcsolat és jogi oldalak váza.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Minden menüpont elérhető; a tartalom adminisztrálható vagy strukturáltan beilleszthető.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2D2D2D"/>
          <w:sz w:val="22"/>
        </w:rPr>
        <w:t>3.3. 2. hét – Felhasználók, jelentkezés és médiarendszer</w:t>
      </w:r>
    </w:p>
    <w:tbl>
      <w:tblPr>
        <w:tblStyle w:val="TableGrid"/>
        <w:tblW w:type="dxa" w:w="9467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cantSplit/>
        </w:trPr>
        <w:tc>
          <w:tcPr>
            <w:tcW w:type="dxa" w:w="566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#</w:t>
            </w:r>
          </w:p>
        </w:tc>
        <w:tc>
          <w:tcPr>
            <w:tcW w:type="dxa" w:w="1870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Feladat / mérföldkő</w:t>
            </w:r>
          </w:p>
        </w:tc>
        <w:tc>
          <w:tcPr>
            <w:tcW w:type="dxa" w:w="4308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Tartalom</w:t>
            </w:r>
          </w:p>
        </w:tc>
        <w:tc>
          <w:tcPr>
            <w:tcW w:type="dxa" w:w="2721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Elfogadási bizonyíték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1.6.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Felhasználói rendszer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Regisztráció, bejelentkezés, jelszó-helyreállítás, e-mail-ellenőrzés és alap profil.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Tesztfelhasználó létrehozható, be tud jelentkezni és kezeli profilját.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1.7.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Harcosjelentkezés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Űrlap személyes, sport-, motivációs és médiaadatokkal; nyilatkozatok és státusz.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Érvényes jelentkezés beküldhető, tárolódik és az alap adminban megjelenik.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1.8.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Streaming felület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Élő adásoldal, lejátszóhely, műsorállapot, hozzáférési logika és visszanézhető tartalom váza.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Tesztközvetítés vagy tesztvideó jogosultság szerint lejátszható.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1.9.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Előfizetési alap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Csomag- és jogosultsági modell, fizetési szolgáltató alapkapcsolata, sikeres és sikertelen állapot kezelése.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Tesztfolyamat után a hozzáférési jogosultság megfelelően változik.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1.10.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Többnyelvű alap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Nyelvváltás és fordítható tartalmi struktúra a meghatározott nyelvekhez.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Legalább két kitöltött nyelvi változat között hibamentesen váltható a felület.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2D2D2D"/>
          <w:sz w:val="22"/>
        </w:rPr>
        <w:t>3.4. 3. hét – Alap admin, stabilizálás és Go-Live</w:t>
      </w:r>
    </w:p>
    <w:tbl>
      <w:tblPr>
        <w:tblStyle w:val="TableGrid"/>
        <w:tblW w:type="dxa" w:w="9467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cantSplit/>
        </w:trPr>
        <w:tc>
          <w:tcPr>
            <w:tcW w:type="dxa" w:w="566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#</w:t>
            </w:r>
          </w:p>
        </w:tc>
        <w:tc>
          <w:tcPr>
            <w:tcW w:type="dxa" w:w="1870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Feladat / mérföldkő</w:t>
            </w:r>
          </w:p>
        </w:tc>
        <w:tc>
          <w:tcPr>
            <w:tcW w:type="dxa" w:w="4308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Tartalom</w:t>
            </w:r>
          </w:p>
        </w:tc>
        <w:tc>
          <w:tcPr>
            <w:tcW w:type="dxa" w:w="2721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Elfogadási bizonyíték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1.11.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Alap admin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Publikus tartalmak, harcosprofilok, beérkezett jelentkezések és alapfelhasználók áttekintése.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Jogosult adminisztrátor belép és a kijelölt tartalmakat módosítja.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1.12.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SEO és megosztás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Metaadatok, oldaltérkép, indexelési alapok és közösségi előnézetek.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 publikus oldalak címe és leírása beállítható; oldaltérkép elérhető.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1.13.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Értesítési alap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Webes és e-mailes értesítési események alapfolyamata.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Tesztértesítés a kijelölt eseményből sikeresen létrejön.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1.14.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Teszt és hibajavítás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Funkcionális, reszponzív és jogosultsági ellenőrzés; feltárt blokkoló hibák javítása.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Az elfogadási ellenőrző lista blokkoló hiba nélkül teljesíthető.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1.15.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Go-Live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Éles környezet, HTTPS, konfiguráció, alapmentés és produkciós kiadás.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Az éles URL elérhető; a kulcsfolyamatok produkciós környezetben működnek.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2D2D2D"/>
          <w:sz w:val="22"/>
        </w:rPr>
        <w:t>3.5. I. fázis elfogadási kritériumai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publikus oldalak mobilon és asztali böngészőben megjelennek, a fő navigáció működik.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Felhasználói regisztráció és bejelentkezés sikeresen végrehajtható.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Harcosjelentkezés beküldhető és az adminisztrációs felületen megtekinthető.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streamingoldal tesztforrással vagy jóváhagyott szolgáltatói forrással lejátszást biztosít.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Az előfizetési jogosultsági alapfolyamat tesztkörnyezetben igazolható.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Megrendelő az alap adminfelületen a kijelölt tartalmakat kezelni tudja.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Az éles környezet hozzáférhető, és nincs olyan reprodukálható kritikus hiba, amely a fő funkciók rendeltetésszerű használatát megakadályozza.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961419"/>
          <w:sz w:val="26"/>
        </w:rPr>
        <w:t>4. II. Fejlesztési Fázis – Super Admin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2D2D2D"/>
          <w:sz w:val="22"/>
        </w:rPr>
        <w:t>4.1. Cél, indítás és díjazás</w:t>
      </w:r>
    </w:p>
    <w:p>
      <w:pPr>
        <w:keepLines/>
        <w:spacing w:after="100" w:line="269" w:lineRule="auto"/>
      </w:pPr>
      <w:r>
        <w:rPr>
          <w:rFonts w:ascii="Aptos" w:hAnsi="Aptos"/>
          <w:b w:val="0"/>
          <w:i w:val="0"/>
          <w:color w:val="141414"/>
          <w:sz w:val="20"/>
        </w:rPr>
        <w:t>A II. Fejlesztési Fázis az I. fázis sikeres lezárását követően indul. Célja az EFU működéséhez szükséges teljes körű adminisztráció, tartalomkezelés, szavazási és interakciós rendszer, moderáció és fizikai vezérlésre felkészített kezelőfelület kialakítása. A fázis díja nettó 200 000 Ft + ÁFA, amely a fázis megkezdésekor előre esedékes.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2D2D2D"/>
          <w:sz w:val="22"/>
        </w:rPr>
        <w:t>4.2. 4. hét – Adminisztráció és tartalomirányítás</w:t>
      </w:r>
    </w:p>
    <w:tbl>
      <w:tblPr>
        <w:tblStyle w:val="TableGrid"/>
        <w:tblW w:type="dxa" w:w="9467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cantSplit/>
        </w:trPr>
        <w:tc>
          <w:tcPr>
            <w:tcW w:type="dxa" w:w="566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#</w:t>
            </w:r>
          </w:p>
        </w:tc>
        <w:tc>
          <w:tcPr>
            <w:tcW w:type="dxa" w:w="1870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Feladat / mérföldkő</w:t>
            </w:r>
          </w:p>
        </w:tc>
        <w:tc>
          <w:tcPr>
            <w:tcW w:type="dxa" w:w="4308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Tartalom</w:t>
            </w:r>
          </w:p>
        </w:tc>
        <w:tc>
          <w:tcPr>
            <w:tcW w:type="dxa" w:w="2721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Elfogadási bizonyíték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2.1.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Szerepkörök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Rendszeradminisztrátor, Producer, Reality szerkesztő, Tartalomkészítő, Marketing és Moderátor.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 tesztfiókok csak a szerepkörükhöz engedélyezett funkciókat érik el.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2.2.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Tartalomkezelés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Oldalak, hírek, videók, képek, epizódok, harcosok és események szerkesztése, időzítése, archiválása.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Tartalom létrehozható, előnézhető, publikálható és archiválható.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2.3.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Jelentkezéskezelés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Keresés, szűrés, státuszváltás, belső megjegyzés és értesítés.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 kijelölt jelentkezés teljes adminisztrációs folyamata végrehajtható.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2.4.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Felhasználók és előfizetések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Fiók-, jogosultság- és előfizetési állapot áttekintése az adatvédelmi korlátok szerint.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 jogosult adminisztrátor a szükséges állapotokat megtekinti és kezeli.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2.5.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Naplózás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Lényeges adminisztrátori műveletek végrehajtóval és időponttal.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 tesztműveletek visszakereshetők az eseménynaplóban.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2D2D2D"/>
          <w:sz w:val="22"/>
        </w:rPr>
        <w:t>4.3. 5. hét – Szavazás, interakció, moderáció és vezérlés</w:t>
      </w:r>
    </w:p>
    <w:tbl>
      <w:tblPr>
        <w:tblStyle w:val="TableGrid"/>
        <w:tblW w:type="dxa" w:w="9467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cantSplit/>
        </w:trPr>
        <w:tc>
          <w:tcPr>
            <w:tcW w:type="dxa" w:w="566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#</w:t>
            </w:r>
          </w:p>
        </w:tc>
        <w:tc>
          <w:tcPr>
            <w:tcW w:type="dxa" w:w="1870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Feladat / mérföldkő</w:t>
            </w:r>
          </w:p>
        </w:tc>
        <w:tc>
          <w:tcPr>
            <w:tcW w:type="dxa" w:w="4308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Tartalom</w:t>
            </w:r>
          </w:p>
        </w:tc>
        <w:tc>
          <w:tcPr>
            <w:tcW w:type="dxa" w:w="2721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Elfogadási bizonyíték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2.6.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Szavazások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Nyitási és zárási idő, válaszlehetőségek, jogosultság, eredmény és archiválás.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Teszt-szavazás létrehozható, leadható, lezárható és kiértékelhető.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2.7.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Nyereményjátékok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Konfigurálható kampány, részvételi feltétel, időszak és eredménykezelés.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Tesztkampány teljes életciklusa adminfelületről kezelhető.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2.8.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Moderáció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Chat- vagy közösségi tartalom áttekintése, elrejtése, tiltása és eseménynaplója az aktivált funkciók szerint.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Moderátor jogosultsággal a kijelölt teszttartalom kezelhető.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2.9.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Interakciók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Jutalmak, büntetések, műsoresemények és időzített műveletek konfigurációja.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Tesztinterakció elindul, állapota és eredménye nyomon követhető.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2.10.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Vezérlőfelület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Zónák és hang-, fény-, LED- vagy reléesemények logikai kezelése; külső eszközkapcsolat előkészítése.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Teszt- vagy szimulált végponton a kijelölt zóna eseménye elindítható.</w:t>
            </w:r>
          </w:p>
        </w:tc>
      </w:tr>
      <w:tr>
        <w:trPr>
          <w:cantSplit/>
        </w:trPr>
        <w:tc>
          <w:tcPr>
            <w:tcW w:type="dxa" w:w="5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2.11.</w:t>
            </w:r>
          </w:p>
        </w:tc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Statisztikák</w:t>
            </w:r>
          </w:p>
        </w:tc>
        <w:tc>
          <w:tcPr>
            <w:tcW w:type="dxa" w:w="43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Látogatói, aktivitási, előfizetési, nézettségi, szavazási és interakciós alapmutatók.</w:t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Az elérhető tesztadatok összesítve megjelennek vagy exportálhatók.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2D2D2D"/>
          <w:sz w:val="22"/>
        </w:rPr>
        <w:t>4.4. II. fázis elfogadási kritériumai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meghatározott adminisztrátori szerepkörök és jogosultsági korlátozások működnek.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kijelölt tartalomtípusok létrehozhatók, szerkeszthetők, időzíthetők és publikálhatók.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jelentkezési folyamat adminisztrációja és a kapcsolódó státuszkezelés végrehajtható.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Szavazás létrehozható, megnyitható, lezárható és kiértékelhető.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moderációs és interakciós funkciók a jóváhagyott hatókörben működnek.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vezérlőfelület teszt- vagy szimulált környezetben végrehajtja a kijelölt műveletet.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Nincs olyan reprodukálható kritikus hiba, amely a Super Admin fő funkcióinak használatát megakadályozza.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961419"/>
          <w:sz w:val="26"/>
        </w:rPr>
        <w:t>5. III. Fejlesztési Fázis – Mobil- és televíziós alkalmazások</w:t>
      </w:r>
    </w:p>
    <w:p>
      <w:pPr>
        <w:pStyle w:val="Heading2"/>
        <w:keepNext/>
      </w:pPr>
      <w:r>
        <w:rPr>
          <w:rFonts w:ascii="Aptos" w:hAnsi="Aptos"/>
          <w:b/>
          <w:i w:val="0"/>
          <w:color w:val="2D2D2D"/>
          <w:sz w:val="22"/>
        </w:rPr>
        <w:t>5.1. Platformonkénti önálló egység</w:t>
      </w:r>
    </w:p>
    <w:p>
      <w:pPr>
        <w:keepLines/>
        <w:spacing w:after="100" w:line="269" w:lineRule="auto"/>
      </w:pPr>
      <w:r>
        <w:rPr>
          <w:rFonts w:ascii="Aptos" w:hAnsi="Aptos"/>
          <w:b w:val="0"/>
          <w:i w:val="0"/>
          <w:color w:val="141414"/>
          <w:sz w:val="20"/>
        </w:rPr>
        <w:t>A III. Fejlesztési Fázisban az Android, iOS, Android TV, Apple TV, Samsung Tizen és LG webOS platform mindegyike külön fejlesztési egység. Díja platformonként nettó 80 000 Ft + ÁFA. E díj PWA-alapú, WebView- vagy más cross-platform technológiával csomagolt kliensre vonatkozik; teljesen önálló natív kódbázis külön írásbeli díjmegállapodást igényel. A fejlesztés csak külön írásbeli igénybejelentés és a díj jóváírása után indul.</w:t>
      </w:r>
    </w:p>
    <w:tbl>
      <w:tblPr>
        <w:tblStyle w:val="TableGrid"/>
        <w:tblW w:type="dxa" w:w="9467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cantSplit/>
        </w:trPr>
        <w:tc>
          <w:tcPr>
            <w:tcW w:type="dxa" w:w="1870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Lépés</w:t>
            </w:r>
          </w:p>
        </w:tc>
        <w:tc>
          <w:tcPr>
            <w:tcW w:type="dxa" w:w="4592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Tartalom</w:t>
            </w:r>
          </w:p>
        </w:tc>
        <w:tc>
          <w:tcPr>
            <w:tcW w:type="dxa" w:w="3004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Eredmény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1. Platformindítás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Célplatform, támogatott verziók, funkciók, arculati és áruházi követelmények rögzítése.</w:t>
            </w:r>
          </w:p>
        </w:tc>
        <w:tc>
          <w:tcPr>
            <w:tcW w:type="dxa" w:w="30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Jóváhagyott platformindítási ellenőrző lista.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2. Alkalmazásváz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Navigáció, bejelentkezés, felhasználói állapot és közös EFU szolgáltatási kapcsolat.</w:t>
            </w:r>
          </w:p>
        </w:tc>
        <w:tc>
          <w:tcPr>
            <w:tcW w:type="dxa" w:w="30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Tesztkészüléken vagy emulátoron futó alkalmazás.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3. Média és jogosultság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Élő és visszanézhető tartalom, előfizetési hozzáférés, platformhoz illeszkedő lejátszás.</w:t>
            </w:r>
          </w:p>
        </w:tc>
        <w:tc>
          <w:tcPr>
            <w:tcW w:type="dxa" w:w="30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Jogosult tesztfelhasználó tartalmat játszik le.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4. Platformfunkciók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Mobilértesítés és interakció, illetve televíziós távirányító-navigáció a célplatform szerint.</w:t>
            </w:r>
          </w:p>
        </w:tc>
        <w:tc>
          <w:tcPr>
            <w:tcW w:type="dxa" w:w="30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 jóváhagyott platformfunkciók működnek.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5. Teszt és csomagolás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Stabilizálás, kiadási konfiguráció, ikonok, képernyőképek és terjeszthető csomag; egy első áruházi benyújtás technikai előkészítése.</w:t>
            </w:r>
          </w:p>
        </w:tc>
        <w:tc>
          <w:tcPr>
            <w:tcW w:type="dxa" w:w="30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Telepíthető vagy áruházi benyújtásra alkalmas kiadás.</w:t>
            </w:r>
          </w:p>
        </w:tc>
      </w:tr>
      <w:tr>
        <w:trPr>
          <w:cantSplit/>
        </w:trPr>
        <w:tc>
          <w:tcPr>
            <w:tcW w:type="dxa" w:w="187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6. Átadás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Forráskód, buildleírás, hozzáférések és ismert korlátozások.</w:t>
            </w:r>
          </w:p>
        </w:tc>
        <w:tc>
          <w:tcPr>
            <w:tcW w:type="dxa" w:w="30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Átadás-átvételi csomag platformonként.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i w:val="0"/>
          <w:color w:val="2D2D2D"/>
          <w:sz w:val="22"/>
        </w:rPr>
        <w:t>5.2. Platformalkalmazás elfogadási kritériumai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Az alkalmazás a külön írásbeli igénybejelentésben rögzített támogatott környezetben telepíthető és elindul.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felhasználó be tud jelentkezni, és a szerveroldali jogosultsága megfelelően érvényesül.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jóváhagyott élő vagy archivált tesztmédia lejátszható.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célplatformra meghatározott navigáció és fő funkciók rendeltetésszerűen működnek.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forráskód, buildelési leírás és kiadási csomag átadásra kerül.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Az alkalmazás-áruházi jóváhagyás nem elfogadási feltétel, mivel az harmadik fél döntése; a Vállalkozó azonban kijavítja a saját fejlesztéséből eredő technikai elutasítási okot.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961419"/>
          <w:sz w:val="26"/>
        </w:rPr>
        <w:t>6. Tesztelési és elfogadási folyamat</w:t>
      </w:r>
    </w:p>
    <w:p>
      <w:pPr>
        <w:pStyle w:val="ScheduleBullet"/>
        <w:ind w:left="425" w:hanging="255"/>
      </w:pPr>
      <w:r>
        <w:rPr>
          <w:rFonts w:ascii="Aptos" w:hAnsi="Aptos"/>
          <w:b/>
          <w:i w:val="0"/>
          <w:color w:val="961419"/>
          <w:sz w:val="20"/>
        </w:rPr>
        <w:t xml:space="preserve">1. </w:t>
      </w:r>
      <w:r>
        <w:rPr>
          <w:rFonts w:ascii="Aptos" w:hAnsi="Aptos"/>
          <w:b w:val="0"/>
          <w:i w:val="0"/>
          <w:color w:val="141414"/>
          <w:sz w:val="20"/>
        </w:rPr>
        <w:t>A Vállalkozó írásban jelzi a fázis vagy fejlesztési egység elkészültét, és átadja a tesztelési hozzáférést, valamint az elfogadási ellenőrző listát.</w:t>
      </w:r>
    </w:p>
    <w:p>
      <w:pPr>
        <w:pStyle w:val="ScheduleBullet"/>
        <w:ind w:left="425" w:hanging="255"/>
      </w:pPr>
      <w:r>
        <w:rPr>
          <w:rFonts w:ascii="Aptos" w:hAnsi="Aptos"/>
          <w:b/>
          <w:i w:val="0"/>
          <w:color w:val="961419"/>
          <w:sz w:val="20"/>
        </w:rPr>
        <w:t xml:space="preserve">2. </w:t>
      </w:r>
      <w:r>
        <w:rPr>
          <w:rFonts w:ascii="Aptos" w:hAnsi="Aptos"/>
          <w:b w:val="0"/>
          <w:i w:val="0"/>
          <w:color w:val="141414"/>
          <w:sz w:val="20"/>
        </w:rPr>
        <w:t>A Megrendelő számára 5 munkanapos tesztelési ablak kezdődik.</w:t>
      </w:r>
    </w:p>
    <w:p>
      <w:pPr>
        <w:pStyle w:val="ScheduleBullet"/>
        <w:ind w:left="425" w:hanging="255"/>
      </w:pPr>
      <w:r>
        <w:rPr>
          <w:rFonts w:ascii="Aptos" w:hAnsi="Aptos"/>
          <w:b/>
          <w:i w:val="0"/>
          <w:color w:val="961419"/>
          <w:sz w:val="20"/>
        </w:rPr>
        <w:t xml:space="preserve">3. </w:t>
      </w:r>
      <w:r>
        <w:rPr>
          <w:rFonts w:ascii="Aptos" w:hAnsi="Aptos"/>
          <w:b w:val="0"/>
          <w:i w:val="0"/>
          <w:color w:val="141414"/>
          <w:sz w:val="20"/>
        </w:rPr>
        <w:t>A Megrendelő a hibákat egyértelműen, lehetőség szerint képernyőképpel vagy videóval, az érintett eszköz és böngésző megjelölésével jelenti be.</w:t>
      </w:r>
    </w:p>
    <w:p>
      <w:pPr>
        <w:pStyle w:val="ScheduleBullet"/>
        <w:ind w:left="425" w:hanging="255"/>
      </w:pPr>
      <w:r>
        <w:rPr>
          <w:rFonts w:ascii="Aptos" w:hAnsi="Aptos"/>
          <w:b/>
          <w:i w:val="0"/>
          <w:color w:val="961419"/>
          <w:sz w:val="20"/>
        </w:rPr>
        <w:t xml:space="preserve">4. </w:t>
      </w:r>
      <w:r>
        <w:rPr>
          <w:rFonts w:ascii="Aptos" w:hAnsi="Aptos"/>
          <w:b w:val="0"/>
          <w:i w:val="0"/>
          <w:color w:val="141414"/>
          <w:sz w:val="20"/>
        </w:rPr>
        <w:t>A Vállalkozó a specifikációval ellentétes, reprodukálható hibákat kijavítja. A kritikus hibákat elsőbbséggel kezeli; az egyéb hibák javítási idejét a terjedelem alapján írásban jelzi.</w:t>
      </w:r>
    </w:p>
    <w:p>
      <w:pPr>
        <w:pStyle w:val="ScheduleBullet"/>
        <w:ind w:left="425" w:hanging="255"/>
      </w:pPr>
      <w:r>
        <w:rPr>
          <w:rFonts w:ascii="Aptos" w:hAnsi="Aptos"/>
          <w:b/>
          <w:i w:val="0"/>
          <w:color w:val="961419"/>
          <w:sz w:val="20"/>
        </w:rPr>
        <w:t xml:space="preserve">5. </w:t>
      </w:r>
      <w:r>
        <w:rPr>
          <w:rFonts w:ascii="Aptos" w:hAnsi="Aptos"/>
          <w:b w:val="0"/>
          <w:i w:val="0"/>
          <w:color w:val="141414"/>
          <w:sz w:val="20"/>
        </w:rPr>
        <w:t>A javított kiadás a szükséges körben ismételten tesztelhető. Az elfogadási teszt nem használható új funkció vagy új tervezési irány díjmentes bevezetésére.</w:t>
      </w:r>
    </w:p>
    <w:p>
      <w:pPr>
        <w:pStyle w:val="ScheduleBullet"/>
        <w:ind w:left="425" w:hanging="255"/>
      </w:pPr>
      <w:r>
        <w:rPr>
          <w:rFonts w:ascii="Aptos" w:hAnsi="Aptos"/>
          <w:b/>
          <w:i w:val="0"/>
          <w:color w:val="961419"/>
          <w:sz w:val="20"/>
        </w:rPr>
        <w:t xml:space="preserve">6. </w:t>
      </w:r>
      <w:r>
        <w:rPr>
          <w:rFonts w:ascii="Aptos" w:hAnsi="Aptos"/>
          <w:b w:val="0"/>
          <w:i w:val="0"/>
          <w:color w:val="141414"/>
          <w:sz w:val="20"/>
        </w:rPr>
        <w:t>A fázis vagy fejlesztési egység elfogadását a Felek átadás-átvételi jegyzőkönyvben vagy más egyértelmű írásbeli nyilatkozattal rögzítik.</w:t>
      </w:r>
    </w:p>
    <w:p>
      <w:pPr>
        <w:pStyle w:val="ScheduleBullet"/>
        <w:ind w:left="425" w:hanging="255"/>
      </w:pPr>
      <w:r>
        <w:rPr>
          <w:rFonts w:ascii="Aptos" w:hAnsi="Aptos"/>
          <w:b/>
          <w:i w:val="0"/>
          <w:color w:val="961419"/>
          <w:sz w:val="20"/>
        </w:rPr>
        <w:t xml:space="preserve">7. </w:t>
      </w:r>
      <w:r>
        <w:rPr>
          <w:rFonts w:ascii="Aptos" w:hAnsi="Aptos"/>
          <w:b w:val="0"/>
          <w:i w:val="0"/>
          <w:color w:val="141414"/>
          <w:sz w:val="20"/>
        </w:rPr>
        <w:t>Ha a Megrendelő az 5 munkanapos tesztelési ablakban nem küld írásbeli visszajelzést, a szerződés szerint a fázis elfogadottnak minősül.</w:t>
      </w:r>
    </w:p>
    <w:p>
      <w:pPr>
        <w:pStyle w:val="ScheduleBullet"/>
        <w:ind w:left="425" w:hanging="255"/>
      </w:pPr>
      <w:r>
        <w:rPr>
          <w:rFonts w:ascii="Aptos" w:hAnsi="Aptos"/>
          <w:b/>
          <w:i w:val="0"/>
          <w:color w:val="961419"/>
          <w:sz w:val="20"/>
        </w:rPr>
        <w:t xml:space="preserve">8. </w:t>
      </w:r>
      <w:r>
        <w:rPr>
          <w:rFonts w:ascii="Aptos" w:hAnsi="Aptos"/>
          <w:b w:val="0"/>
          <w:i w:val="0"/>
          <w:color w:val="141414"/>
          <w:sz w:val="20"/>
        </w:rPr>
        <w:t>A 90 napos Garanciális Időszak az I. fázisnál a Go-Live, a további önálló fejlesztési egységeknél az átadás napján kezdődik.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961419"/>
          <w:sz w:val="26"/>
        </w:rPr>
        <w:t>7. Hibakategóriák és elfogadási küszöb</w:t>
      </w:r>
    </w:p>
    <w:tbl>
      <w:tblPr>
        <w:tblStyle w:val="TableGrid"/>
        <w:tblW w:type="dxa" w:w="9467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cantSplit/>
        </w:trPr>
        <w:tc>
          <w:tcPr>
            <w:tcW w:type="dxa" w:w="1700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Kategória</w:t>
            </w:r>
          </w:p>
        </w:tc>
        <w:tc>
          <w:tcPr>
            <w:tcW w:type="dxa" w:w="4592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Meghatározás</w:t>
            </w:r>
          </w:p>
        </w:tc>
        <w:tc>
          <w:tcPr>
            <w:tcW w:type="dxa" w:w="3174"/>
            <w:shd w:fill="EDEDED"/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961419"/>
                <w:sz w:val="18"/>
              </w:rPr>
              <w:t>Elfogadásra gyakorolt hatás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Kritikus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 rendszer vagy egy fő üzleti folyamat nem használható, adatvesztés vagy súlyos jogosultsági hiba áll fenn, és nincs ésszerű kerülőmegoldás.</w:t>
            </w:r>
          </w:p>
        </w:tc>
        <w:tc>
          <w:tcPr>
            <w:tcW w:type="dxa" w:w="31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Az érintett fázis nem fogadható el a hiba kijavításáig.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Jelentős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Egy lényeges funkció hibás vagy számottevően korlátozott, de a rendszer többi része használható, illetve van ideiglenes kerülőmegoldás.</w:t>
            </w:r>
          </w:p>
        </w:tc>
        <w:tc>
          <w:tcPr>
            <w:tcW w:type="dxa" w:w="31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 Felek javítási határidőt rögzítenek; az elfogadás a konkrét hatástól függ.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Kisebb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Megjelenési, szövegezési vagy alacsony hatású működési eltérés, amely a fő folyamatot nem akadályozza.</w:t>
            </w:r>
          </w:p>
        </w:tc>
        <w:tc>
          <w:tcPr>
            <w:tcW w:type="dxa" w:w="31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Nem akadályozza az elfogadást; a garanciális hibajegyzékben kezelhető.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/>
                <w:i w:val="0"/>
                <w:color w:val="141414"/>
                <w:sz w:val="17"/>
              </w:rPr>
              <w:t>Változtatási igény</w:t>
            </w:r>
          </w:p>
        </w:tc>
        <w:tc>
          <w:tcPr>
            <w:tcW w:type="dxa" w:w="4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A jóváhagyott specifikáción túli új funkció, integráció, tervezési irány vagy platformkövetelmény.</w:t>
            </w:r>
          </w:p>
        </w:tc>
        <w:tc>
          <w:tcPr>
            <w:tcW w:type="dxa" w:w="31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141414"/>
                <w:sz w:val="17"/>
              </w:rPr>
              <w:t>Nem hiba; hatókör-változásként külön megállapodást és díjazást igényelhet.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961419"/>
          <w:sz w:val="26"/>
        </w:rPr>
        <w:t>8. Megrendelői közreműködés és függőségek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Megrendelő a projektindításig átadja a végleges logót, arculati elemeket, szövegeket, képeket, videókat, fordításokat és jogi tartalmakat.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Megrendelő biztosítja a domain-, tárhely-, e-mail-, fizetési, közvetítési, analitikai és egyéb szükséges szolgáltatói fiókokat, továbbá azok megfelelő jogosultságait.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Megrendelő biztosítja a teszteléshez szükséges médiaforrást és fizetési tesztkörnyezetet, valamint a külső partnerek együttműködését.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Megrendelő egyértelmű, összesített visszajelzést ad, és kijelöli a jóváhagyásra jogosult kapcsolattartót.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mobil- és televíziós platformoknál a Megrendelő biztosítja a fejlesztői fiókot, a szervezeti ellenőrzést, az áruházi adatokat és a szükséges teszteszközt vagy hozzáférést, ha az nem áll a Vállalkozó rendelkezésére.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Megrendelői közreműködés késedelme a teljesítési határidőt legalább a késedelem időtartamával meghosszabbítja.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961419"/>
          <w:sz w:val="26"/>
        </w:rPr>
        <w:t>9. Átadás-átvételi csomag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Tesztelési vagy éles URL, illetve platformalkalmazás esetén telepíthető vagy benyújtható kiadási csomag.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 teljesített fejlesztési egység forráskódja és a szükséges konfigurációs minta.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Adatbázis-migrációk, telepítési és alapüzemeltetési leírás.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Adminisztrátori hozzáférések és a Megrendelő kezelésébe kerülő szolgáltatói jogosultságok.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Rövid felhasználói vagy adminisztrátori útmutató az átadott funkciókhoz.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Elfogadási ellenőrző lista, ismert korlátozások és nyitott hibák jegyzéke, ha van ilyen.</w:t>
      </w:r>
    </w:p>
    <w:p>
      <w:pPr>
        <w:pStyle w:val="ScheduleBullet"/>
        <w:ind w:left="369" w:hanging="198"/>
      </w:pPr>
      <w:r>
        <w:rPr>
          <w:rFonts w:ascii="Aptos" w:hAnsi="Aptos"/>
          <w:b/>
          <w:i w:val="0"/>
          <w:color w:val="961419"/>
          <w:sz w:val="20"/>
        </w:rPr>
        <w:t xml:space="preserve">• </w:t>
      </w:r>
      <w:r>
        <w:rPr>
          <w:rFonts w:ascii="Aptos" w:hAnsi="Aptos"/>
          <w:b w:val="0"/>
          <w:i w:val="0"/>
          <w:color w:val="141414"/>
          <w:sz w:val="20"/>
        </w:rPr>
        <w:t>Átadás-átvételi jegyzőkönyv vagy azzal egyenértékű írásbeli elfogadó nyilatkozat.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961419"/>
          <w:sz w:val="26"/>
        </w:rPr>
        <w:t>10. Hatókör-változás és ütemterv-módosítás</w:t>
      </w:r>
    </w:p>
    <w:p>
      <w:pPr>
        <w:keepLines/>
        <w:spacing w:after="100" w:line="269" w:lineRule="auto"/>
      </w:pPr>
      <w:r>
        <w:rPr>
          <w:rFonts w:ascii="Aptos" w:hAnsi="Aptos"/>
          <w:b w:val="0"/>
          <w:i w:val="0"/>
          <w:color w:val="141414"/>
          <w:sz w:val="20"/>
        </w:rPr>
        <w:t>A jelen ütemterv az 1. számú mellékletben rögzített műszaki tartalom megvalósítására vonatkozik. Új funkció, új külső integráció, jelentős arculati irányváltás, közvetítési technológiaváltás, további platform vagy a jóváhagyott működés lényeges módosítása hatókör-változásnak minősülhet. A Vállalkozó az igényt megvizsgálja, és szükség esetén írásbeli módosítási javaslatot ad a többletdíjról és a határidőváltozásról.</w:t>
      </w:r>
    </w:p>
    <w:p>
      <w:pPr>
        <w:keepLines/>
        <w:spacing w:after="100" w:line="269" w:lineRule="auto"/>
      </w:pPr>
      <w:r>
        <w:rPr>
          <w:rFonts w:ascii="Aptos" w:hAnsi="Aptos"/>
          <w:b w:val="0"/>
          <w:i w:val="0"/>
          <w:color w:val="141414"/>
          <w:sz w:val="20"/>
        </w:rPr>
        <w:t>A jelen melléklet és a vállalkozási szerződés eltérése esetén a vállalkozási szerződés rendelkezései irányadók. A műszaki tartalom meghatározásában az 1. számú melléklet, a sorrend és elfogadási mérföldkövek meghatározásában a jelen melléklet alkalmazandó.</w:t>
      </w:r>
    </w:p>
    <w:p>
      <w:pPr>
        <w:keepLines/>
        <w:spacing w:after="360" w:line="269" w:lineRule="auto"/>
      </w:pPr>
      <w:r>
        <w:rPr>
          <w:rFonts w:ascii="Aptos" w:hAnsi="Aptos"/>
          <w:b w:val="0"/>
          <w:i w:val="0"/>
          <w:color w:val="141414"/>
          <w:sz w:val="20"/>
        </w:rPr>
        <w:t>Kelt: ______________________________, 2026. __________________ hó ______ napján.</w:t>
      </w:r>
    </w:p>
    <w:tbl>
      <w:tblPr>
        <w:tblW w:type="dxa" w:w="9467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3"/>
            <w:tcMar>
              <w:top w:w="260" w:type="dxa"/>
              <w:start w:w="150" w:type="dxa"/>
              <w:bottom w:w="80" w:type="dxa"/>
              <w:end w:w="15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i w:val="0"/>
                <w:color w:val="5A5A5A"/>
                <w:sz w:val="20"/>
              </w:rPr>
              <w:t>________________________________</w:t>
            </w:r>
          </w:p>
          <w:p>
            <w:pPr>
              <w:spacing w:after="20"/>
              <w:jc w:val="center"/>
            </w:pPr>
            <w:r>
              <w:rPr>
                <w:rFonts w:ascii="Aptos" w:hAnsi="Aptos"/>
                <w:b/>
                <w:i w:val="0"/>
                <w:color w:val="141414"/>
                <w:sz w:val="18"/>
              </w:rPr>
              <w:t>Megrendelő</w:t>
            </w:r>
          </w:p>
          <w:p>
            <w:pPr>
              <w:spacing w:after="20"/>
              <w:jc w:val="center"/>
            </w:pPr>
            <w:r>
              <w:rPr>
                <w:rFonts w:ascii="Aptos" w:hAnsi="Aptos"/>
                <w:b w:val="0"/>
                <w:i w:val="0"/>
                <w:color w:val="141414"/>
                <w:sz w:val="18"/>
              </w:rPr>
              <w:t>Art and Techno Kft.</w:t>
            </w:r>
          </w:p>
          <w:p>
            <w:pPr>
              <w:spacing w:after="20"/>
              <w:jc w:val="center"/>
            </w:pPr>
            <w:r>
              <w:rPr>
                <w:rFonts w:ascii="Aptos" w:hAnsi="Aptos"/>
                <w:b w:val="0"/>
                <w:i w:val="0"/>
                <w:color w:val="141414"/>
                <w:sz w:val="18"/>
              </w:rPr>
              <w:t>Varga Ferenc ügyvezető</w:t>
            </w:r>
          </w:p>
        </w:tc>
        <w:tc>
          <w:tcPr>
            <w:tcW w:type="dxa" w:w="4733"/>
            <w:tcMar>
              <w:top w:w="260" w:type="dxa"/>
              <w:start w:w="150" w:type="dxa"/>
              <w:bottom w:w="80" w:type="dxa"/>
              <w:end w:w="15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i w:val="0"/>
                <w:color w:val="5A5A5A"/>
                <w:sz w:val="20"/>
              </w:rPr>
              <w:t>________________________________</w:t>
            </w:r>
          </w:p>
          <w:p>
            <w:pPr>
              <w:spacing w:after="20"/>
              <w:jc w:val="center"/>
            </w:pPr>
            <w:r>
              <w:rPr>
                <w:rFonts w:ascii="Aptos" w:hAnsi="Aptos"/>
                <w:b/>
                <w:i w:val="0"/>
                <w:color w:val="141414"/>
                <w:sz w:val="18"/>
              </w:rPr>
              <w:t>Vállalkozó</w:t>
            </w:r>
          </w:p>
          <w:p>
            <w:pPr>
              <w:spacing w:after="20"/>
              <w:jc w:val="center"/>
            </w:pPr>
            <w:r>
              <w:rPr>
                <w:rFonts w:ascii="Aptos" w:hAnsi="Aptos"/>
                <w:b w:val="0"/>
                <w:i w:val="0"/>
                <w:color w:val="141414"/>
                <w:sz w:val="18"/>
              </w:rPr>
              <w:t>Szimulátor Technika Kft.</w:t>
            </w:r>
          </w:p>
          <w:p>
            <w:pPr>
              <w:spacing w:after="20"/>
              <w:jc w:val="center"/>
            </w:pPr>
            <w:r>
              <w:rPr>
                <w:rFonts w:ascii="Aptos" w:hAnsi="Aptos"/>
                <w:b w:val="0"/>
                <w:i w:val="0"/>
                <w:color w:val="141414"/>
                <w:sz w:val="18"/>
              </w:rPr>
              <w:t>Konyhás Krisztián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219" w:bottom="964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A5A5A"/>
        <w:sz w:val="16"/>
      </w:rPr>
      <w:t xml:space="preserve">EFU Fejlesztési Ütemterv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A5A5A"/>
        <w:sz w:val="17"/>
      </w:rPr>
      <w:t>ELITE FIGHT UNIVERSE  |  2. SZÁMÚ MELLÉKLET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heduleBullet">
    <w:name w:val="Schedule Bullet"/>
    <w:pPr>
      <w:spacing w:after="60" w:line="259" w:lineRule="auto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EFU 2. számú melléklet – Fejlesztési Ütemterv</dc:title>
  <dc:subject>Elite Fight Universe fejlesztési fázisok, mérföldkövek és elfogadási kritériumok</dc:subject>
  <dc:creator>Art and Techno Kft. és Szimulátor Technika Kft.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