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ptos" w:hAnsi="Aptos"/>
          <w:b/>
          <w:i w:val="0"/>
          <w:color w:val="961419"/>
          <w:sz w:val="32"/>
        </w:rPr>
        <w:t>3. SZÁMÚ MELLÉKLET</w:t>
      </w:r>
    </w:p>
    <w:p>
      <w:pPr>
        <w:spacing w:after="60"/>
        <w:jc w:val="center"/>
      </w:pPr>
      <w:r>
        <w:rPr>
          <w:rFonts w:ascii="Aptos" w:hAnsi="Aptos"/>
          <w:b/>
          <w:i w:val="0"/>
          <w:color w:val="141414"/>
          <w:sz w:val="38"/>
        </w:rPr>
        <w:t>ADATFELDOLGOZÁSI MEGÁLLAPODÁS</w:t>
      </w:r>
    </w:p>
    <w:p>
      <w:pPr>
        <w:spacing w:after="360"/>
        <w:jc w:val="center"/>
      </w:pPr>
      <w:r>
        <w:rPr>
          <w:rFonts w:ascii="Aptos" w:hAnsi="Aptos"/>
          <w:b/>
          <w:i w:val="0"/>
          <w:color w:val="5A5A5A"/>
          <w:sz w:val="24"/>
        </w:rPr>
        <w:t>a GDPR 28. cikke alapján</w:t>
      </w:r>
    </w:p>
    <w:p>
      <w:pPr>
        <w:keepLines/>
        <w:spacing w:after="240" w:line="269" w:lineRule="auto"/>
      </w:pPr>
      <w:r>
        <w:rPr>
          <w:rFonts w:ascii="Aptos" w:hAnsi="Aptos"/>
          <w:b w:val="0"/>
          <w:i w:val="0"/>
          <w:color w:val="141414"/>
          <w:sz w:val="20"/>
        </w:rPr>
        <w:t>A jelen melléklet az Elite Fight Universe digitális platform fejlesztésére kötött Szoftverfejlesztési Vállalkozási Szerződés elválaszthatatlan része, és az Európai Parlament és a Tanács (EU) 2016/679 rendeletének (GDPR) 28. cikke szerinti adatfeldolgozási feltételeket rögzíti.</w:t>
      </w:r>
    </w:p>
    <w:p>
      <w:pPr>
        <w:pStyle w:val="Heading1"/>
        <w:keepNext/>
      </w:pPr>
      <w:r>
        <w:rPr>
          <w:rFonts w:ascii="Aptos" w:hAnsi="Aptos"/>
          <w:b/>
          <w:i w:val="0"/>
          <w:color w:val="961419"/>
          <w:sz w:val="26"/>
        </w:rPr>
        <w:t>1. Felek és szerepek</w:t>
      </w:r>
    </w:p>
    <w:p>
      <w:pPr>
        <w:pStyle w:val="DPAClause"/>
        <w:keepLines/>
        <w:ind w:left="408" w:hanging="408"/>
      </w:pPr>
      <w:r>
        <w:rPr>
          <w:rFonts w:ascii="Aptos" w:hAnsi="Aptos"/>
          <w:b/>
          <w:i w:val="0"/>
          <w:color w:val="141414"/>
          <w:sz w:val="20"/>
        </w:rPr>
        <w:t xml:space="preserve">1.1. </w:t>
      </w:r>
      <w:r>
        <w:rPr>
          <w:rFonts w:ascii="Aptos" w:hAnsi="Aptos"/>
          <w:b w:val="0"/>
          <w:i w:val="0"/>
          <w:color w:val="141414"/>
          <w:sz w:val="20"/>
        </w:rPr>
        <w:t>Adatkezelő: Art and Techno Kft. (székhely: 1151 Budapest, Énekes utca 6.; adószám: 26691822-1-42; képviseli: Varga Ferenc ügyvezető; a továbbiakban: Adatkezelő).</w:t>
      </w:r>
    </w:p>
    <w:p>
      <w:pPr>
        <w:pStyle w:val="DPAClause"/>
        <w:keepLines/>
        <w:ind w:left="408" w:hanging="408"/>
      </w:pPr>
      <w:r>
        <w:rPr>
          <w:rFonts w:ascii="Aptos" w:hAnsi="Aptos"/>
          <w:b/>
          <w:i w:val="0"/>
          <w:color w:val="141414"/>
          <w:sz w:val="20"/>
        </w:rPr>
        <w:t xml:space="preserve">1.2. </w:t>
      </w:r>
      <w:r>
        <w:rPr>
          <w:rFonts w:ascii="Aptos" w:hAnsi="Aptos"/>
          <w:b w:val="0"/>
          <w:i w:val="0"/>
          <w:color w:val="141414"/>
          <w:sz w:val="20"/>
        </w:rPr>
        <w:t>Adatfeldolgozó: Szimulátor Technika Kft. (székhely: 4400 Nyíregyháza, Eötvös u. 5.; adószám: 27310254-2-15; képviseli: Konyhás Krisztián; a továbbiakban: Adatfeldolgozó).</w:t>
      </w:r>
    </w:p>
    <w:p>
      <w:pPr>
        <w:pStyle w:val="DPAClause"/>
        <w:keepLines/>
        <w:ind w:left="408" w:hanging="408"/>
      </w:pPr>
      <w:r>
        <w:rPr>
          <w:rFonts w:ascii="Aptos" w:hAnsi="Aptos"/>
          <w:b/>
          <w:i w:val="0"/>
          <w:color w:val="141414"/>
          <w:sz w:val="20"/>
        </w:rPr>
        <w:t xml:space="preserve">1.3. </w:t>
      </w:r>
      <w:r>
        <w:rPr>
          <w:rFonts w:ascii="Aptos" w:hAnsi="Aptos"/>
          <w:b w:val="0"/>
          <w:i w:val="0"/>
          <w:color w:val="141414"/>
          <w:sz w:val="20"/>
        </w:rPr>
        <w:t>Adatkezelő határozza meg a személyes adatok kezelésének céljait és lényeges eszközeit. Adatfeldolgozó kizárólag Adatkezelő dokumentált utasításai alapján, a szerződés teljesítéséhez szükséges mértékben járhat el.</w:t>
      </w:r>
    </w:p>
    <w:p>
      <w:pPr>
        <w:pStyle w:val="Heading1"/>
        <w:keepNext/>
      </w:pPr>
      <w:r>
        <w:rPr>
          <w:rFonts w:ascii="Aptos" w:hAnsi="Aptos"/>
          <w:b/>
          <w:i w:val="0"/>
          <w:color w:val="961419"/>
          <w:sz w:val="26"/>
        </w:rPr>
        <w:t>2. Az adatfeldolgozás tárgya, időtartama és célja</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267"/>
            <w:shd w:fill="EDEDED"/>
            <w:tcMar>
              <w:top w:w="90" w:type="dxa"/>
              <w:start w:w="110" w:type="dxa"/>
              <w:bottom w:w="90" w:type="dxa"/>
              <w:end w:w="110" w:type="dxa"/>
            </w:tcMar>
          </w:tcPr>
          <w:p>
            <w:pPr>
              <w:spacing w:after="0"/>
            </w:pPr>
            <w:r/>
            <w:r>
              <w:rPr>
                <w:rFonts w:ascii="Aptos" w:hAnsi="Aptos"/>
                <w:b/>
                <w:i w:val="0"/>
                <w:color w:val="961419"/>
                <w:sz w:val="18"/>
              </w:rPr>
              <w:t>Elem</w:t>
            </w:r>
          </w:p>
        </w:tc>
        <w:tc>
          <w:tcPr>
            <w:tcW w:type="dxa" w:w="7200"/>
            <w:shd w:fill="EDEDED"/>
            <w:tcMar>
              <w:top w:w="90" w:type="dxa"/>
              <w:start w:w="110" w:type="dxa"/>
              <w:bottom w:w="90" w:type="dxa"/>
              <w:end w:w="110" w:type="dxa"/>
            </w:tcMar>
          </w:tcPr>
          <w:p>
            <w:pPr>
              <w:spacing w:after="0"/>
            </w:pPr>
            <w:r/>
            <w:r>
              <w:rPr>
                <w:rFonts w:ascii="Aptos" w:hAnsi="Aptos"/>
                <w:b/>
                <w:i w:val="0"/>
                <w:color w:val="961419"/>
                <w:sz w:val="18"/>
              </w:rPr>
              <w:t>Meghatározás</w:t>
            </w:r>
          </w:p>
        </w:tc>
      </w:tr>
      <w:tr>
        <w:trPr>
          <w:cantSplit/>
        </w:trPr>
        <w:tc>
          <w:tcPr>
            <w:tcW w:type="dxa" w:w="2267"/>
            <w:tcMar>
              <w:top w:w="90" w:type="dxa"/>
              <w:start w:w="110" w:type="dxa"/>
              <w:bottom w:w="90" w:type="dxa"/>
              <w:end w:w="110" w:type="dxa"/>
            </w:tcMar>
            <w:vAlign w:val="center"/>
          </w:tcPr>
          <w:p>
            <w:pPr>
              <w:spacing w:after="0"/>
            </w:pPr>
            <w:r/>
            <w:r>
              <w:rPr>
                <w:rFonts w:ascii="Aptos" w:hAnsi="Aptos"/>
                <w:b/>
                <w:i w:val="0"/>
                <w:color w:val="141414"/>
                <w:sz w:val="18"/>
              </w:rPr>
              <w:t>Tárgy</w:t>
            </w:r>
          </w:p>
        </w:tc>
        <w:tc>
          <w:tcPr>
            <w:tcW w:type="dxa" w:w="7200"/>
            <w:tcMar>
              <w:top w:w="90" w:type="dxa"/>
              <w:start w:w="110" w:type="dxa"/>
              <w:bottom w:w="90" w:type="dxa"/>
              <w:end w:w="110" w:type="dxa"/>
            </w:tcMar>
            <w:vAlign w:val="center"/>
          </w:tcPr>
          <w:p>
            <w:pPr>
              <w:spacing w:after="0"/>
            </w:pPr>
            <w:r/>
            <w:r>
              <w:rPr>
                <w:rFonts w:ascii="Aptos" w:hAnsi="Aptos"/>
                <w:b w:val="0"/>
                <w:i w:val="0"/>
                <w:color w:val="141414"/>
                <w:sz w:val="18"/>
              </w:rPr>
              <w:t>Az EFU digitális platform fejlesztése, tesztelése, élesítése, garanciális hibajavítása és – külön megállapodás esetén – támogatása vagy üzemeltetése során szükséges technikai adatkezelés.</w:t>
            </w:r>
          </w:p>
        </w:tc>
      </w:tr>
      <w:tr>
        <w:trPr>
          <w:cantSplit/>
        </w:trPr>
        <w:tc>
          <w:tcPr>
            <w:tcW w:type="dxa" w:w="2267"/>
            <w:tcMar>
              <w:top w:w="90" w:type="dxa"/>
              <w:start w:w="110" w:type="dxa"/>
              <w:bottom w:w="90" w:type="dxa"/>
              <w:end w:w="110" w:type="dxa"/>
            </w:tcMar>
            <w:vAlign w:val="center"/>
          </w:tcPr>
          <w:p>
            <w:pPr>
              <w:spacing w:after="0"/>
            </w:pPr>
            <w:r/>
            <w:r>
              <w:rPr>
                <w:rFonts w:ascii="Aptos" w:hAnsi="Aptos"/>
                <w:b/>
                <w:i w:val="0"/>
                <w:color w:val="141414"/>
                <w:sz w:val="18"/>
              </w:rPr>
              <w:t>Időtartam</w:t>
            </w:r>
          </w:p>
        </w:tc>
        <w:tc>
          <w:tcPr>
            <w:tcW w:type="dxa" w:w="7200"/>
            <w:tcMar>
              <w:top w:w="90" w:type="dxa"/>
              <w:start w:w="110" w:type="dxa"/>
              <w:bottom w:w="90" w:type="dxa"/>
              <w:end w:w="110" w:type="dxa"/>
            </w:tcMar>
            <w:vAlign w:val="center"/>
          </w:tcPr>
          <w:p>
            <w:pPr>
              <w:spacing w:after="0"/>
            </w:pPr>
            <w:r/>
            <w:r>
              <w:rPr>
                <w:rFonts w:ascii="Aptos" w:hAnsi="Aptos"/>
                <w:b w:val="0"/>
                <w:i w:val="0"/>
                <w:color w:val="141414"/>
                <w:sz w:val="18"/>
              </w:rPr>
              <w:t>A fő szerződés hatálya, továbbá az adatok visszaadásához, törléséhez és igazolásához szükséges legfeljebb 30 nap.</w:t>
            </w:r>
          </w:p>
        </w:tc>
      </w:tr>
      <w:tr>
        <w:trPr>
          <w:cantSplit/>
        </w:trPr>
        <w:tc>
          <w:tcPr>
            <w:tcW w:type="dxa" w:w="2267"/>
            <w:tcMar>
              <w:top w:w="90" w:type="dxa"/>
              <w:start w:w="110" w:type="dxa"/>
              <w:bottom w:w="90" w:type="dxa"/>
              <w:end w:w="110" w:type="dxa"/>
            </w:tcMar>
            <w:vAlign w:val="center"/>
          </w:tcPr>
          <w:p>
            <w:pPr>
              <w:spacing w:after="0"/>
            </w:pPr>
            <w:r/>
            <w:r>
              <w:rPr>
                <w:rFonts w:ascii="Aptos" w:hAnsi="Aptos"/>
                <w:b/>
                <w:i w:val="0"/>
                <w:color w:val="141414"/>
                <w:sz w:val="18"/>
              </w:rPr>
              <w:t>Cél</w:t>
            </w:r>
          </w:p>
        </w:tc>
        <w:tc>
          <w:tcPr>
            <w:tcW w:type="dxa" w:w="7200"/>
            <w:tcMar>
              <w:top w:w="90" w:type="dxa"/>
              <w:start w:w="110" w:type="dxa"/>
              <w:bottom w:w="90" w:type="dxa"/>
              <w:end w:w="110" w:type="dxa"/>
            </w:tcMar>
            <w:vAlign w:val="center"/>
          </w:tcPr>
          <w:p>
            <w:pPr>
              <w:spacing w:after="0"/>
            </w:pPr>
            <w:r/>
            <w:r>
              <w:rPr>
                <w:rFonts w:ascii="Aptos" w:hAnsi="Aptos"/>
                <w:b w:val="0"/>
                <w:i w:val="0"/>
                <w:color w:val="141414"/>
                <w:sz w:val="18"/>
              </w:rPr>
              <w:t>A platform működésének biztosítása, hibakeresés, hozzáférés-kezelés, biztonság, mentés és visszaállítás a dokumentált utasítás szerint.</w:t>
            </w:r>
          </w:p>
        </w:tc>
      </w:tr>
      <w:tr>
        <w:trPr>
          <w:cantSplit/>
        </w:trPr>
        <w:tc>
          <w:tcPr>
            <w:tcW w:type="dxa" w:w="2267"/>
            <w:tcMar>
              <w:top w:w="90" w:type="dxa"/>
              <w:start w:w="110" w:type="dxa"/>
              <w:bottom w:w="90" w:type="dxa"/>
              <w:end w:w="110" w:type="dxa"/>
            </w:tcMar>
            <w:vAlign w:val="center"/>
          </w:tcPr>
          <w:p>
            <w:pPr>
              <w:spacing w:after="0"/>
            </w:pPr>
            <w:r/>
            <w:r>
              <w:rPr>
                <w:rFonts w:ascii="Aptos" w:hAnsi="Aptos"/>
                <w:b/>
                <w:i w:val="0"/>
                <w:color w:val="141414"/>
                <w:sz w:val="18"/>
              </w:rPr>
              <w:t>Műveletek</w:t>
            </w:r>
          </w:p>
        </w:tc>
        <w:tc>
          <w:tcPr>
            <w:tcW w:type="dxa" w:w="7200"/>
            <w:tcMar>
              <w:top w:w="90" w:type="dxa"/>
              <w:start w:w="110" w:type="dxa"/>
              <w:bottom w:w="90" w:type="dxa"/>
              <w:end w:w="110" w:type="dxa"/>
            </w:tcMar>
            <w:vAlign w:val="center"/>
          </w:tcPr>
          <w:p>
            <w:pPr>
              <w:spacing w:after="0"/>
            </w:pPr>
            <w:r/>
            <w:r>
              <w:rPr>
                <w:rFonts w:ascii="Aptos" w:hAnsi="Aptos"/>
                <w:b w:val="0"/>
                <w:i w:val="0"/>
                <w:color w:val="141414"/>
                <w:sz w:val="18"/>
              </w:rPr>
              <w:t>Hozzáférés, megtekintés, rögzítés, rendszerezés, tárolás, továbbítás a jóváhagyott szolgáltatóknak, mentés, helyreállítás, korlátozás és törlés.</w:t>
            </w:r>
          </w:p>
        </w:tc>
      </w:tr>
    </w:tbl>
    <w:p>
      <w:pPr>
        <w:spacing w:after="20"/>
      </w:pPr>
    </w:p>
    <w:p>
      <w:pPr>
        <w:pStyle w:val="Heading1"/>
        <w:keepNext/>
      </w:pPr>
      <w:r>
        <w:rPr>
          <w:rFonts w:ascii="Aptos" w:hAnsi="Aptos"/>
          <w:b/>
          <w:i w:val="0"/>
          <w:color w:val="961419"/>
          <w:sz w:val="26"/>
        </w:rPr>
        <w:t>3. Érintettek és személyes adatok</w:t>
      </w:r>
    </w:p>
    <w:tbl>
      <w:tblPr>
        <w:tblStyle w:val="TableGrid"/>
        <w:tblW w:type="dxa" w:w="9467"/>
        <w:jc w:val="center"/>
        <w:tblLayout w:type="fixed"/>
        <w:tblLook w:firstColumn="1" w:firstRow="1" w:lastColumn="0" w:lastRow="0" w:noHBand="0" w:noVBand="1" w:val="04A0"/>
      </w:tblPr>
      <w:tblGrid>
        <w:gridCol w:w="4734"/>
        <w:gridCol w:w="4734"/>
      </w:tblGrid>
      <w:tr>
        <w:trPr>
          <w:cantSplit/>
        </w:trPr>
        <w:tc>
          <w:tcPr>
            <w:tcW w:type="dxa" w:w="2834"/>
            <w:shd w:fill="EDEDED"/>
            <w:tcMar>
              <w:top w:w="90" w:type="dxa"/>
              <w:start w:w="110" w:type="dxa"/>
              <w:bottom w:w="90" w:type="dxa"/>
              <w:end w:w="110" w:type="dxa"/>
            </w:tcMar>
          </w:tcPr>
          <w:p>
            <w:pPr>
              <w:spacing w:after="0"/>
            </w:pPr>
            <w:r/>
            <w:r>
              <w:rPr>
                <w:rFonts w:ascii="Aptos" w:hAnsi="Aptos"/>
                <w:b/>
                <w:i w:val="0"/>
                <w:color w:val="961419"/>
                <w:sz w:val="18"/>
              </w:rPr>
              <w:t>Érintetti kör</w:t>
            </w:r>
          </w:p>
        </w:tc>
        <w:tc>
          <w:tcPr>
            <w:tcW w:type="dxa" w:w="6633"/>
            <w:shd w:fill="EDEDED"/>
            <w:tcMar>
              <w:top w:w="90" w:type="dxa"/>
              <w:start w:w="110" w:type="dxa"/>
              <w:bottom w:w="90" w:type="dxa"/>
              <w:end w:w="110" w:type="dxa"/>
            </w:tcMar>
          </w:tcPr>
          <w:p>
            <w:pPr>
              <w:spacing w:after="0"/>
            </w:pPr>
            <w:r/>
            <w:r>
              <w:rPr>
                <w:rFonts w:ascii="Aptos" w:hAnsi="Aptos"/>
                <w:b/>
                <w:i w:val="0"/>
                <w:color w:val="961419"/>
                <w:sz w:val="18"/>
              </w:rPr>
              <w:t>Lehetséges adatkategóriák</w:t>
            </w:r>
          </w:p>
        </w:tc>
      </w:tr>
      <w:tr>
        <w:trPr>
          <w:cantSplit/>
        </w:trPr>
        <w:tc>
          <w:tcPr>
            <w:tcW w:type="dxa" w:w="2834"/>
            <w:tcMar>
              <w:top w:w="90" w:type="dxa"/>
              <w:start w:w="110" w:type="dxa"/>
              <w:bottom w:w="90" w:type="dxa"/>
              <w:end w:w="110" w:type="dxa"/>
            </w:tcMar>
            <w:vAlign w:val="center"/>
          </w:tcPr>
          <w:p>
            <w:pPr>
              <w:spacing w:after="0"/>
            </w:pPr>
            <w:r/>
            <w:r>
              <w:rPr>
                <w:rFonts w:ascii="Aptos" w:hAnsi="Aptos"/>
                <w:b/>
                <w:i w:val="0"/>
                <w:color w:val="141414"/>
                <w:sz w:val="18"/>
              </w:rPr>
              <w:t>Nézők és regisztrált felhasználók</w:t>
            </w:r>
          </w:p>
        </w:tc>
        <w:tc>
          <w:tcPr>
            <w:tcW w:type="dxa" w:w="6633"/>
            <w:tcMar>
              <w:top w:w="90" w:type="dxa"/>
              <w:start w:w="110" w:type="dxa"/>
              <w:bottom w:w="90" w:type="dxa"/>
              <w:end w:w="110" w:type="dxa"/>
            </w:tcMar>
            <w:vAlign w:val="center"/>
          </w:tcPr>
          <w:p>
            <w:pPr>
              <w:spacing w:after="0"/>
            </w:pPr>
            <w:r/>
            <w:r>
              <w:rPr>
                <w:rFonts w:ascii="Aptos" w:hAnsi="Aptos"/>
                <w:b w:val="0"/>
                <w:i w:val="0"/>
                <w:color w:val="141414"/>
                <w:sz w:val="18"/>
              </w:rPr>
              <w:t>Név, e-mail-cím, technikai azonosítók, bejelentkezési adatok, nyelv, értesítési beállítások, aktivitási és előfizetési állapot.</w:t>
            </w:r>
          </w:p>
        </w:tc>
      </w:tr>
      <w:tr>
        <w:trPr>
          <w:cantSplit/>
        </w:trPr>
        <w:tc>
          <w:tcPr>
            <w:tcW w:type="dxa" w:w="2834"/>
            <w:tcMar>
              <w:top w:w="90" w:type="dxa"/>
              <w:start w:w="110" w:type="dxa"/>
              <w:bottom w:w="90" w:type="dxa"/>
              <w:end w:w="110" w:type="dxa"/>
            </w:tcMar>
            <w:vAlign w:val="center"/>
          </w:tcPr>
          <w:p>
            <w:pPr>
              <w:spacing w:after="0"/>
            </w:pPr>
            <w:r/>
            <w:r>
              <w:rPr>
                <w:rFonts w:ascii="Aptos" w:hAnsi="Aptos"/>
                <w:b/>
                <w:i w:val="0"/>
                <w:color w:val="141414"/>
                <w:sz w:val="18"/>
              </w:rPr>
              <w:t>Előfizetők</w:t>
            </w:r>
          </w:p>
        </w:tc>
        <w:tc>
          <w:tcPr>
            <w:tcW w:type="dxa" w:w="6633"/>
            <w:tcMar>
              <w:top w:w="90" w:type="dxa"/>
              <w:start w:w="110" w:type="dxa"/>
              <w:bottom w:w="90" w:type="dxa"/>
              <w:end w:w="110" w:type="dxa"/>
            </w:tcMar>
            <w:vAlign w:val="center"/>
          </w:tcPr>
          <w:p>
            <w:pPr>
              <w:spacing w:after="0"/>
            </w:pPr>
            <w:r/>
            <w:r>
              <w:rPr>
                <w:rFonts w:ascii="Aptos" w:hAnsi="Aptos"/>
                <w:b w:val="0"/>
                <w:i w:val="0"/>
                <w:color w:val="141414"/>
                <w:sz w:val="18"/>
              </w:rPr>
              <w:t>Számlázási és tranzakciós hivatkozások; teljes bankkártyaadat kizárólag a fizetési szolgáltatónál kezelhető.</w:t>
            </w:r>
          </w:p>
        </w:tc>
      </w:tr>
      <w:tr>
        <w:trPr>
          <w:cantSplit/>
        </w:trPr>
        <w:tc>
          <w:tcPr>
            <w:tcW w:type="dxa" w:w="2834"/>
            <w:tcMar>
              <w:top w:w="90" w:type="dxa"/>
              <w:start w:w="110" w:type="dxa"/>
              <w:bottom w:w="90" w:type="dxa"/>
              <w:end w:w="110" w:type="dxa"/>
            </w:tcMar>
            <w:vAlign w:val="center"/>
          </w:tcPr>
          <w:p>
            <w:pPr>
              <w:spacing w:after="0"/>
            </w:pPr>
            <w:r/>
            <w:r>
              <w:rPr>
                <w:rFonts w:ascii="Aptos" w:hAnsi="Aptos"/>
                <w:b/>
                <w:i w:val="0"/>
                <w:color w:val="141414"/>
                <w:sz w:val="18"/>
              </w:rPr>
              <w:t>Harcosjelentkezők</w:t>
            </w:r>
          </w:p>
        </w:tc>
        <w:tc>
          <w:tcPr>
            <w:tcW w:type="dxa" w:w="6633"/>
            <w:tcMar>
              <w:top w:w="90" w:type="dxa"/>
              <w:start w:w="110" w:type="dxa"/>
              <w:bottom w:w="90" w:type="dxa"/>
              <w:end w:w="110" w:type="dxa"/>
            </w:tcMar>
            <w:vAlign w:val="center"/>
          </w:tcPr>
          <w:p>
            <w:pPr>
              <w:spacing w:after="0"/>
            </w:pPr>
            <w:r/>
            <w:r>
              <w:rPr>
                <w:rFonts w:ascii="Aptos" w:hAnsi="Aptos"/>
                <w:b w:val="0"/>
                <w:i w:val="0"/>
                <w:color w:val="141414"/>
                <w:sz w:val="18"/>
              </w:rPr>
              <w:t>Név, életkor vagy születési adat, város, testsúly, sportmúlt, motiváció, elérhetőség, videó- és közösségi hivatkozás, nyilatkozatok.</w:t>
            </w:r>
          </w:p>
        </w:tc>
      </w:tr>
      <w:tr>
        <w:trPr>
          <w:cantSplit/>
        </w:trPr>
        <w:tc>
          <w:tcPr>
            <w:tcW w:type="dxa" w:w="2834"/>
            <w:tcMar>
              <w:top w:w="90" w:type="dxa"/>
              <w:start w:w="110" w:type="dxa"/>
              <w:bottom w:w="90" w:type="dxa"/>
              <w:end w:w="110" w:type="dxa"/>
            </w:tcMar>
            <w:vAlign w:val="center"/>
          </w:tcPr>
          <w:p>
            <w:pPr>
              <w:spacing w:after="0"/>
            </w:pPr>
            <w:r/>
            <w:r>
              <w:rPr>
                <w:rFonts w:ascii="Aptos" w:hAnsi="Aptos"/>
                <w:b/>
                <w:i w:val="0"/>
                <w:color w:val="141414"/>
                <w:sz w:val="18"/>
              </w:rPr>
              <w:t>Harcosok és műsorszereplők</w:t>
            </w:r>
          </w:p>
        </w:tc>
        <w:tc>
          <w:tcPr>
            <w:tcW w:type="dxa" w:w="6633"/>
            <w:tcMar>
              <w:top w:w="90" w:type="dxa"/>
              <w:start w:w="110" w:type="dxa"/>
              <w:bottom w:w="90" w:type="dxa"/>
              <w:end w:w="110" w:type="dxa"/>
            </w:tcMar>
            <w:vAlign w:val="center"/>
          </w:tcPr>
          <w:p>
            <w:pPr>
              <w:spacing w:after="0"/>
            </w:pPr>
            <w:r/>
            <w:r>
              <w:rPr>
                <w:rFonts w:ascii="Aptos" w:hAnsi="Aptos"/>
                <w:b w:val="0"/>
                <w:i w:val="0"/>
                <w:color w:val="141414"/>
                <w:sz w:val="18"/>
              </w:rPr>
              <w:t>Profil-, teljesítmény-, média- és eseményadatok; különleges adat csak kifejezett, dokumentált utasítás és megfelelő jogalap esetén.</w:t>
            </w:r>
          </w:p>
        </w:tc>
      </w:tr>
      <w:tr>
        <w:trPr>
          <w:cantSplit/>
        </w:trPr>
        <w:tc>
          <w:tcPr>
            <w:tcW w:type="dxa" w:w="2834"/>
            <w:tcMar>
              <w:top w:w="90" w:type="dxa"/>
              <w:start w:w="110" w:type="dxa"/>
              <w:bottom w:w="90" w:type="dxa"/>
              <w:end w:w="110" w:type="dxa"/>
            </w:tcMar>
            <w:vAlign w:val="center"/>
          </w:tcPr>
          <w:p>
            <w:pPr>
              <w:spacing w:after="0"/>
            </w:pPr>
            <w:r/>
            <w:r>
              <w:rPr>
                <w:rFonts w:ascii="Aptos" w:hAnsi="Aptos"/>
                <w:b/>
                <w:i w:val="0"/>
                <w:color w:val="141414"/>
                <w:sz w:val="18"/>
              </w:rPr>
              <w:t>Adminisztrátorok és közreműködők</w:t>
            </w:r>
          </w:p>
        </w:tc>
        <w:tc>
          <w:tcPr>
            <w:tcW w:type="dxa" w:w="6633"/>
            <w:tcMar>
              <w:top w:w="90" w:type="dxa"/>
              <w:start w:w="110" w:type="dxa"/>
              <w:bottom w:w="90" w:type="dxa"/>
              <w:end w:w="110" w:type="dxa"/>
            </w:tcMar>
            <w:vAlign w:val="center"/>
          </w:tcPr>
          <w:p>
            <w:pPr>
              <w:spacing w:after="0"/>
            </w:pPr>
            <w:r/>
            <w:r>
              <w:rPr>
                <w:rFonts w:ascii="Aptos" w:hAnsi="Aptos"/>
                <w:b w:val="0"/>
                <w:i w:val="0"/>
                <w:color w:val="141414"/>
                <w:sz w:val="18"/>
              </w:rPr>
              <w:t>Név, üzleti elérhetőség, szerepkör, belépési és eseménynapló-adatok.</w:t>
            </w:r>
          </w:p>
        </w:tc>
      </w:tr>
    </w:tbl>
    <w:p>
      <w:pPr>
        <w:spacing w:after="20"/>
      </w:pPr>
    </w:p>
    <w:p>
      <w:pPr>
        <w:pStyle w:val="DPAClause"/>
        <w:keepLines/>
        <w:ind w:left="408" w:hanging="408"/>
      </w:pPr>
      <w:r>
        <w:rPr>
          <w:rFonts w:ascii="Aptos" w:hAnsi="Aptos"/>
          <w:b/>
          <w:i w:val="0"/>
          <w:color w:val="141414"/>
          <w:sz w:val="20"/>
        </w:rPr>
        <w:t xml:space="preserve">3.1. </w:t>
      </w:r>
      <w:r>
        <w:rPr>
          <w:rFonts w:ascii="Aptos" w:hAnsi="Aptos"/>
          <w:b w:val="0"/>
          <w:i w:val="0"/>
          <w:color w:val="141414"/>
          <w:sz w:val="20"/>
        </w:rPr>
        <w:t>Adatfeldolgozó nem gyűjthet és nem használhat személyes adatot saját célra, különösen profilalkotásra, marketingre, termékfejlesztési tanításra vagy más ügyfél adatállományával való összekapcsolásra.</w:t>
      </w:r>
    </w:p>
    <w:p>
      <w:pPr>
        <w:pStyle w:val="Heading1"/>
        <w:keepNext/>
      </w:pPr>
      <w:r>
        <w:rPr>
          <w:rFonts w:ascii="Aptos" w:hAnsi="Aptos"/>
          <w:b/>
          <w:i w:val="0"/>
          <w:color w:val="961419"/>
          <w:sz w:val="26"/>
        </w:rPr>
        <w:t>4. Adatkezelő utasításai</w:t>
      </w:r>
    </w:p>
    <w:p>
      <w:pPr>
        <w:pStyle w:val="DPAClause"/>
        <w:keepLines/>
        <w:ind w:left="408" w:hanging="408"/>
      </w:pPr>
      <w:r>
        <w:rPr>
          <w:rFonts w:ascii="Aptos" w:hAnsi="Aptos"/>
          <w:b/>
          <w:i w:val="0"/>
          <w:color w:val="141414"/>
          <w:sz w:val="20"/>
        </w:rPr>
        <w:t xml:space="preserve">4.1. </w:t>
      </w:r>
      <w:r>
        <w:rPr>
          <w:rFonts w:ascii="Aptos" w:hAnsi="Aptos"/>
          <w:b w:val="0"/>
          <w:i w:val="0"/>
          <w:color w:val="141414"/>
          <w:sz w:val="20"/>
        </w:rPr>
        <w:t>Az utasítás lehet a fő szerződés, e melléklet, jóváhagyott műszaki dokumentáció, hibajegy vagy az Adatkezelő kijelölt kapcsolattartójának írásbeli közlése.</w:t>
      </w:r>
    </w:p>
    <w:p>
      <w:pPr>
        <w:pStyle w:val="DPAClause"/>
        <w:keepLines/>
        <w:ind w:left="408" w:hanging="408"/>
      </w:pPr>
      <w:r>
        <w:rPr>
          <w:rFonts w:ascii="Aptos" w:hAnsi="Aptos"/>
          <w:b/>
          <w:i w:val="0"/>
          <w:color w:val="141414"/>
          <w:sz w:val="20"/>
        </w:rPr>
        <w:t xml:space="preserve">4.2. </w:t>
      </w:r>
      <w:r>
        <w:rPr>
          <w:rFonts w:ascii="Aptos" w:hAnsi="Aptos"/>
          <w:b w:val="0"/>
          <w:i w:val="0"/>
          <w:color w:val="141414"/>
          <w:sz w:val="20"/>
        </w:rPr>
        <w:t>Ha Adatfeldolgozó megítélése szerint valamely utasítás sérti a GDPR-t vagy más adatvédelmi szabályt, erről az utasítás végrehajtása előtt indokolatlan késedelem nélkül tájékoztatja Adatkezelőt. Nyilvánvaló jogsértés esetén az utasítás végrehajtását a tisztázásig felfüggeszti.</w:t>
      </w:r>
    </w:p>
    <w:p>
      <w:pPr>
        <w:pStyle w:val="DPAClause"/>
        <w:keepLines/>
        <w:ind w:left="408" w:hanging="408"/>
      </w:pPr>
      <w:r>
        <w:rPr>
          <w:rFonts w:ascii="Aptos" w:hAnsi="Aptos"/>
          <w:b/>
          <w:i w:val="0"/>
          <w:color w:val="141414"/>
          <w:sz w:val="20"/>
        </w:rPr>
        <w:t xml:space="preserve">4.3. </w:t>
      </w:r>
      <w:r>
        <w:rPr>
          <w:rFonts w:ascii="Aptos" w:hAnsi="Aptos"/>
          <w:b w:val="0"/>
          <w:i w:val="0"/>
          <w:color w:val="141414"/>
          <w:sz w:val="20"/>
        </w:rPr>
        <w:t>Adatfeldolgozó kizárólag az utasítás teljesítéséhez szükséges személyeknek és a legkisebb szükséges jogosultsággal biztosít hozzáférést.</w:t>
      </w:r>
    </w:p>
    <w:p>
      <w:pPr>
        <w:pStyle w:val="Heading1"/>
        <w:keepNext/>
      </w:pPr>
      <w:r>
        <w:rPr>
          <w:rFonts w:ascii="Aptos" w:hAnsi="Aptos"/>
          <w:b/>
          <w:i w:val="0"/>
          <w:color w:val="961419"/>
          <w:sz w:val="26"/>
        </w:rPr>
        <w:t>5. Titoktartás és személyi biztonság</w:t>
      </w:r>
    </w:p>
    <w:p>
      <w:pPr>
        <w:pStyle w:val="DPAClause"/>
        <w:keepLines/>
        <w:ind w:left="408" w:hanging="408"/>
      </w:pPr>
      <w:r>
        <w:rPr>
          <w:rFonts w:ascii="Aptos" w:hAnsi="Aptos"/>
          <w:b/>
          <w:i w:val="0"/>
          <w:color w:val="141414"/>
          <w:sz w:val="20"/>
        </w:rPr>
        <w:t xml:space="preserve">5.1. </w:t>
      </w:r>
      <w:r>
        <w:rPr>
          <w:rFonts w:ascii="Aptos" w:hAnsi="Aptos"/>
          <w:b w:val="0"/>
          <w:i w:val="0"/>
          <w:color w:val="141414"/>
          <w:sz w:val="20"/>
        </w:rPr>
        <w:t>Adatfeldolgozó biztosítja, hogy a személyes adatok kezelésére jogosult valamennyi személy megfelelő titoktartási kötelezettség alatt álljon, adatvédelmi és információbiztonsági tájékoztatást kapjon, valamint hozzáférése megszűnjön, ha az már nem szükséges.</w:t>
      </w:r>
    </w:p>
    <w:p>
      <w:pPr>
        <w:pStyle w:val="DPAClause"/>
        <w:keepLines/>
        <w:ind w:left="408" w:hanging="408"/>
      </w:pPr>
      <w:r>
        <w:rPr>
          <w:rFonts w:ascii="Aptos" w:hAnsi="Aptos"/>
          <w:b/>
          <w:i w:val="0"/>
          <w:color w:val="141414"/>
          <w:sz w:val="20"/>
        </w:rPr>
        <w:t xml:space="preserve">5.2. </w:t>
      </w:r>
      <w:r>
        <w:rPr>
          <w:rFonts w:ascii="Aptos" w:hAnsi="Aptos"/>
          <w:b w:val="0"/>
          <w:i w:val="0"/>
          <w:color w:val="141414"/>
          <w:sz w:val="20"/>
        </w:rPr>
        <w:t>Éles személyes adat fejlesztési vagy demonstrációs környezetben csak Adatkezelő előzetes írásbeli engedélyével, lehetőség szerint álnevesítve vagy anonimizálva használható.</w:t>
      </w:r>
    </w:p>
    <w:p>
      <w:pPr>
        <w:pStyle w:val="Heading1"/>
        <w:keepNext/>
      </w:pPr>
      <w:r>
        <w:rPr>
          <w:rFonts w:ascii="Aptos" w:hAnsi="Aptos"/>
          <w:b/>
          <w:i w:val="0"/>
          <w:color w:val="961419"/>
          <w:sz w:val="26"/>
        </w:rPr>
        <w:t>6. Technikai és szervezési intézkedések</w:t>
      </w:r>
    </w:p>
    <w:p>
      <w:pPr>
        <w:pStyle w:val="DPABullet"/>
        <w:ind w:left="369" w:hanging="198"/>
      </w:pPr>
      <w:r>
        <w:rPr>
          <w:rFonts w:ascii="Aptos" w:hAnsi="Aptos"/>
          <w:b/>
          <w:i w:val="0"/>
          <w:color w:val="961419"/>
          <w:sz w:val="20"/>
        </w:rPr>
        <w:t xml:space="preserve">• </w:t>
      </w:r>
      <w:r>
        <w:rPr>
          <w:rFonts w:ascii="Aptos" w:hAnsi="Aptos"/>
          <w:b w:val="0"/>
          <w:i w:val="0"/>
          <w:color w:val="141414"/>
          <w:sz w:val="20"/>
        </w:rPr>
        <w:t>Titkosított HTTPS/TLS kapcsolat és biztonságos távoli hozzáférés.</w:t>
      </w:r>
    </w:p>
    <w:p>
      <w:pPr>
        <w:pStyle w:val="DPABullet"/>
        <w:ind w:left="369" w:hanging="198"/>
      </w:pPr>
      <w:r>
        <w:rPr>
          <w:rFonts w:ascii="Aptos" w:hAnsi="Aptos"/>
          <w:b/>
          <w:i w:val="0"/>
          <w:color w:val="961419"/>
          <w:sz w:val="20"/>
        </w:rPr>
        <w:t xml:space="preserve">• </w:t>
      </w:r>
      <w:r>
        <w:rPr>
          <w:rFonts w:ascii="Aptos" w:hAnsi="Aptos"/>
          <w:b w:val="0"/>
          <w:i w:val="0"/>
          <w:color w:val="141414"/>
          <w:sz w:val="20"/>
        </w:rPr>
        <w:t>Egyedi felhasználói azonosítók, erős hitelesítés és adminisztrátori hozzáférésnél többtényezős hitelesítés, ahol műszakilag elérhető.</w:t>
      </w:r>
    </w:p>
    <w:p>
      <w:pPr>
        <w:pStyle w:val="DPABullet"/>
        <w:ind w:left="369" w:hanging="198"/>
      </w:pPr>
      <w:r>
        <w:rPr>
          <w:rFonts w:ascii="Aptos" w:hAnsi="Aptos"/>
          <w:b/>
          <w:i w:val="0"/>
          <w:color w:val="961419"/>
          <w:sz w:val="20"/>
        </w:rPr>
        <w:t xml:space="preserve">• </w:t>
      </w:r>
      <w:r>
        <w:rPr>
          <w:rFonts w:ascii="Aptos" w:hAnsi="Aptos"/>
          <w:b w:val="0"/>
          <w:i w:val="0"/>
          <w:color w:val="141414"/>
          <w:sz w:val="20"/>
        </w:rPr>
        <w:t>Szerepköralapú jogosultságok, legkisebb jogosultság elve és időszakos hozzáférés-felülvizsgálat.</w:t>
      </w:r>
    </w:p>
    <w:p>
      <w:pPr>
        <w:pStyle w:val="DPABullet"/>
        <w:ind w:left="369" w:hanging="198"/>
      </w:pPr>
      <w:r>
        <w:rPr>
          <w:rFonts w:ascii="Aptos" w:hAnsi="Aptos"/>
          <w:b/>
          <w:i w:val="0"/>
          <w:color w:val="961419"/>
          <w:sz w:val="20"/>
        </w:rPr>
        <w:t xml:space="preserve">• </w:t>
      </w:r>
      <w:r>
        <w:rPr>
          <w:rFonts w:ascii="Aptos" w:hAnsi="Aptos"/>
          <w:b w:val="0"/>
          <w:i w:val="0"/>
          <w:color w:val="141414"/>
          <w:sz w:val="20"/>
        </w:rPr>
        <w:t>Titkos kulcsok elkülönített kezelése; kulcsok és jelszavak kizárása a publikus forráskódból és naplókból.</w:t>
      </w:r>
    </w:p>
    <w:p>
      <w:pPr>
        <w:pStyle w:val="DPABullet"/>
        <w:ind w:left="369" w:hanging="198"/>
      </w:pPr>
      <w:r>
        <w:rPr>
          <w:rFonts w:ascii="Aptos" w:hAnsi="Aptos"/>
          <w:b/>
          <w:i w:val="0"/>
          <w:color w:val="961419"/>
          <w:sz w:val="20"/>
        </w:rPr>
        <w:t xml:space="preserve">• </w:t>
      </w:r>
      <w:r>
        <w:rPr>
          <w:rFonts w:ascii="Aptos" w:hAnsi="Aptos"/>
          <w:b w:val="0"/>
          <w:i w:val="0"/>
          <w:color w:val="141414"/>
          <w:sz w:val="20"/>
        </w:rPr>
        <w:t>Biztonsági és adminisztrátori események naplózása, jogosulatlan módosítás elleni védelemmel.</w:t>
      </w:r>
    </w:p>
    <w:p>
      <w:pPr>
        <w:pStyle w:val="DPABullet"/>
        <w:ind w:left="369" w:hanging="198"/>
      </w:pPr>
      <w:r>
        <w:rPr>
          <w:rFonts w:ascii="Aptos" w:hAnsi="Aptos"/>
          <w:b/>
          <w:i w:val="0"/>
          <w:color w:val="961419"/>
          <w:sz w:val="20"/>
        </w:rPr>
        <w:t xml:space="preserve">• </w:t>
      </w:r>
      <w:r>
        <w:rPr>
          <w:rFonts w:ascii="Aptos" w:hAnsi="Aptos"/>
          <w:b w:val="0"/>
          <w:i w:val="0"/>
          <w:color w:val="141414"/>
          <w:sz w:val="20"/>
        </w:rPr>
        <w:t>Rendszeres mentés, dokumentált visszaállítás és a mentések hozzáférés-védelme a külön üzemeltetési felelősség szerint.</w:t>
      </w:r>
    </w:p>
    <w:p>
      <w:pPr>
        <w:pStyle w:val="DPABullet"/>
        <w:ind w:left="369" w:hanging="198"/>
      </w:pPr>
      <w:r>
        <w:rPr>
          <w:rFonts w:ascii="Aptos" w:hAnsi="Aptos"/>
          <w:b/>
          <w:i w:val="0"/>
          <w:color w:val="961419"/>
          <w:sz w:val="20"/>
        </w:rPr>
        <w:t xml:space="preserve">• </w:t>
      </w:r>
      <w:r>
        <w:rPr>
          <w:rFonts w:ascii="Aptos" w:hAnsi="Aptos"/>
          <w:b w:val="0"/>
          <w:i w:val="0"/>
          <w:color w:val="141414"/>
          <w:sz w:val="20"/>
        </w:rPr>
        <w:t>Fejlesztési, teszt- és éles környezet logikai elkülönítése; sérülékenységek és függőségek észszerű időn belüli javítása.</w:t>
      </w:r>
    </w:p>
    <w:p>
      <w:pPr>
        <w:pStyle w:val="DPABullet"/>
        <w:ind w:left="369" w:hanging="198"/>
      </w:pPr>
      <w:r>
        <w:rPr>
          <w:rFonts w:ascii="Aptos" w:hAnsi="Aptos"/>
          <w:b/>
          <w:i w:val="0"/>
          <w:color w:val="961419"/>
          <w:sz w:val="20"/>
        </w:rPr>
        <w:t xml:space="preserve">• </w:t>
      </w:r>
      <w:r>
        <w:rPr>
          <w:rFonts w:ascii="Aptos" w:hAnsi="Aptos"/>
          <w:b w:val="0"/>
          <w:i w:val="0"/>
          <w:color w:val="141414"/>
          <w:sz w:val="20"/>
        </w:rPr>
        <w:t>Adatminimalizálás, maszkolás vagy álnevesítés hibakeresés során, ahol lehetséges.</w:t>
      </w:r>
    </w:p>
    <w:p>
      <w:pPr>
        <w:pStyle w:val="DPAClause"/>
        <w:keepLines/>
        <w:ind w:left="408" w:hanging="408"/>
      </w:pPr>
      <w:r>
        <w:rPr>
          <w:rFonts w:ascii="Aptos" w:hAnsi="Aptos"/>
          <w:b/>
          <w:i w:val="0"/>
          <w:color w:val="141414"/>
          <w:sz w:val="20"/>
        </w:rPr>
        <w:t xml:space="preserve">6.1. </w:t>
      </w:r>
      <w:r>
        <w:rPr>
          <w:rFonts w:ascii="Aptos" w:hAnsi="Aptos"/>
          <w:b w:val="0"/>
          <w:i w:val="0"/>
          <w:color w:val="141414"/>
          <w:sz w:val="20"/>
        </w:rPr>
        <w:t>Adatfeldolgozó a kockázatok változásával arányosan felülvizsgálja az intézkedéseket, és a lényeges biztonsági szint csökkentéséről előzetesen tájékoztatja Adatkezelőt.</w:t>
      </w:r>
    </w:p>
    <w:p>
      <w:pPr>
        <w:pStyle w:val="Heading1"/>
        <w:keepNext/>
      </w:pPr>
      <w:r>
        <w:rPr>
          <w:rFonts w:ascii="Aptos" w:hAnsi="Aptos"/>
          <w:b/>
          <w:i w:val="0"/>
          <w:color w:val="961419"/>
          <w:sz w:val="26"/>
        </w:rPr>
        <w:t>7. Adatvédelmi incidens</w:t>
      </w:r>
    </w:p>
    <w:p>
      <w:pPr>
        <w:pStyle w:val="DPAClause"/>
        <w:keepLines/>
        <w:ind w:left="408" w:hanging="408"/>
      </w:pPr>
      <w:r>
        <w:rPr>
          <w:rFonts w:ascii="Aptos" w:hAnsi="Aptos"/>
          <w:b/>
          <w:i w:val="0"/>
          <w:color w:val="141414"/>
          <w:sz w:val="20"/>
        </w:rPr>
        <w:t xml:space="preserve">7.1. </w:t>
      </w:r>
      <w:r>
        <w:rPr>
          <w:rFonts w:ascii="Aptos" w:hAnsi="Aptos"/>
          <w:b w:val="0"/>
          <w:i w:val="0"/>
          <w:color w:val="141414"/>
          <w:sz w:val="20"/>
        </w:rPr>
        <w:t>Adatfeldolgozó a személyes adatok biztonságát érintő esemény gyanúját indokolatlan késedelem nélkül, de legkésőbb a tudomásszerzéstől számított 12 órán belül jelzi Adatkezelőnek.</w:t>
      </w:r>
    </w:p>
    <w:p>
      <w:pPr>
        <w:pStyle w:val="DPAClause"/>
        <w:keepLines/>
        <w:ind w:left="408" w:hanging="408"/>
      </w:pPr>
      <w:r>
        <w:rPr>
          <w:rFonts w:ascii="Aptos" w:hAnsi="Aptos"/>
          <w:b/>
          <w:i w:val="0"/>
          <w:color w:val="141414"/>
          <w:sz w:val="20"/>
        </w:rPr>
        <w:t xml:space="preserve">7.2. </w:t>
      </w:r>
      <w:r>
        <w:rPr>
          <w:rFonts w:ascii="Aptos" w:hAnsi="Aptos"/>
          <w:b w:val="0"/>
          <w:i w:val="0"/>
          <w:color w:val="141414"/>
          <w:sz w:val="20"/>
        </w:rPr>
        <w:t>A bejelentés tartalmazza – amennyiben ismert – az esemény jellegét, időpontját, az érintetti és adatkategóriákat, a becsült mennyiséget, a várható következményeket, a megtett vagy tervezett intézkedéseket és a kapcsolattartó adatait. A hiányzó információk részletekben is megadhatók indokolatlan késedelem nélkül.</w:t>
      </w:r>
    </w:p>
    <w:p>
      <w:pPr>
        <w:pStyle w:val="DPAClause"/>
        <w:keepLines/>
        <w:ind w:left="408" w:hanging="408"/>
      </w:pPr>
      <w:r>
        <w:rPr>
          <w:rFonts w:ascii="Aptos" w:hAnsi="Aptos"/>
          <w:b/>
          <w:i w:val="0"/>
          <w:color w:val="141414"/>
          <w:sz w:val="20"/>
        </w:rPr>
        <w:t xml:space="preserve">7.3. </w:t>
      </w:r>
      <w:r>
        <w:rPr>
          <w:rFonts w:ascii="Aptos" w:hAnsi="Aptos"/>
          <w:b w:val="0"/>
          <w:i w:val="0"/>
          <w:color w:val="141414"/>
          <w:sz w:val="20"/>
        </w:rPr>
        <w:t>Adatfeldolgozó megőrzi a bizonyítékokat, együttműködik a kivizsgálásban és a kárenyhítésben, Adatkezelő engedélye nélkül pedig nem értesíti az érintetteket vagy a hatóságot, kivéve, ha erre jogszabály kötelezi.</w:t>
      </w:r>
    </w:p>
    <w:p>
      <w:pPr>
        <w:pStyle w:val="Heading1"/>
        <w:keepNext/>
      </w:pPr>
      <w:r>
        <w:rPr>
          <w:rFonts w:ascii="Aptos" w:hAnsi="Aptos"/>
          <w:b/>
          <w:i w:val="0"/>
          <w:color w:val="961419"/>
          <w:sz w:val="26"/>
        </w:rPr>
        <w:t>8. Al-adatfeldolgozók</w:t>
      </w:r>
    </w:p>
    <w:p>
      <w:pPr>
        <w:pStyle w:val="DPAClause"/>
        <w:keepLines/>
        <w:ind w:left="408" w:hanging="408"/>
      </w:pPr>
      <w:r>
        <w:rPr>
          <w:rFonts w:ascii="Aptos" w:hAnsi="Aptos"/>
          <w:b/>
          <w:i w:val="0"/>
          <w:color w:val="141414"/>
          <w:sz w:val="20"/>
        </w:rPr>
        <w:t xml:space="preserve">8.1. </w:t>
      </w:r>
      <w:r>
        <w:rPr>
          <w:rFonts w:ascii="Aptos" w:hAnsi="Aptos"/>
          <w:b w:val="0"/>
          <w:i w:val="0"/>
          <w:color w:val="141414"/>
          <w:sz w:val="20"/>
        </w:rPr>
        <w:t>Adatfeldolgozó al-adatfeldolgozót kizárólag Adatkezelő előzetes egyedi írásbeli engedélyével vagy jóváhagyott, naprakész al-adatfeldolgozói lista alapján vehet igénybe. Új vagy lecserélt al-adatfeldolgozóról legalább 15 nappal korábban tájékoztatást ad, és lehetőséget biztosít az adatvédelmi okból történő tiltakozásra.</w:t>
      </w:r>
    </w:p>
    <w:p>
      <w:pPr>
        <w:pStyle w:val="DPAClause"/>
        <w:keepLines/>
        <w:ind w:left="408" w:hanging="408"/>
      </w:pPr>
      <w:r>
        <w:rPr>
          <w:rFonts w:ascii="Aptos" w:hAnsi="Aptos"/>
          <w:b/>
          <w:i w:val="0"/>
          <w:color w:val="141414"/>
          <w:sz w:val="20"/>
        </w:rPr>
        <w:t xml:space="preserve">8.2. </w:t>
      </w:r>
      <w:r>
        <w:rPr>
          <w:rFonts w:ascii="Aptos" w:hAnsi="Aptos"/>
          <w:b w:val="0"/>
          <w:i w:val="0"/>
          <w:color w:val="141414"/>
          <w:sz w:val="20"/>
        </w:rPr>
        <w:t>Adatfeldolgozó az al-adatfeldolgozóra legalább a jelen mellékletben foglaltakkal azonos adatvédelmi kötelezettségeket hárít. Az al-adatfeldolgozó teljesítéséért Adatfeldolgozó teljes felelősséggel tartozik.</w:t>
      </w:r>
    </w:p>
    <w:tbl>
      <w:tblPr>
        <w:tblStyle w:val="TableGrid"/>
        <w:tblW w:type="dxa" w:w="9467"/>
        <w:jc w:val="center"/>
        <w:tblLayout w:type="fixed"/>
        <w:tblLook w:firstColumn="1" w:firstRow="1" w:lastColumn="0" w:lastRow="0" w:noHBand="0" w:noVBand="1" w:val="04A0"/>
      </w:tblPr>
      <w:tblGrid>
        <w:gridCol w:w="2367"/>
        <w:gridCol w:w="2367"/>
        <w:gridCol w:w="2367"/>
        <w:gridCol w:w="2367"/>
      </w:tblGrid>
      <w:tr>
        <w:trPr>
          <w:cantSplit/>
        </w:trPr>
        <w:tc>
          <w:tcPr>
            <w:tcW w:type="dxa" w:w="2437"/>
            <w:shd w:fill="EDEDED"/>
            <w:tcMar>
              <w:top w:w="90" w:type="dxa"/>
              <w:start w:w="110" w:type="dxa"/>
              <w:bottom w:w="90" w:type="dxa"/>
              <w:end w:w="110" w:type="dxa"/>
            </w:tcMar>
          </w:tcPr>
          <w:p>
            <w:pPr>
              <w:spacing w:after="0"/>
            </w:pPr>
            <w:r/>
            <w:r>
              <w:rPr>
                <w:rFonts w:ascii="Aptos" w:hAnsi="Aptos"/>
                <w:b/>
                <w:i w:val="0"/>
                <w:color w:val="961419"/>
                <w:sz w:val="18"/>
              </w:rPr>
              <w:t>Al-adatfeldolgozó</w:t>
            </w:r>
          </w:p>
        </w:tc>
        <w:tc>
          <w:tcPr>
            <w:tcW w:type="dxa" w:w="2721"/>
            <w:shd w:fill="EDEDED"/>
            <w:tcMar>
              <w:top w:w="90" w:type="dxa"/>
              <w:start w:w="110" w:type="dxa"/>
              <w:bottom w:w="90" w:type="dxa"/>
              <w:end w:w="110" w:type="dxa"/>
            </w:tcMar>
          </w:tcPr>
          <w:p>
            <w:pPr>
              <w:spacing w:after="0"/>
            </w:pPr>
            <w:r/>
            <w:r>
              <w:rPr>
                <w:rFonts w:ascii="Aptos" w:hAnsi="Aptos"/>
                <w:b/>
                <w:i w:val="0"/>
                <w:color w:val="961419"/>
                <w:sz w:val="18"/>
              </w:rPr>
              <w:t>Szolgáltatás</w:t>
            </w:r>
          </w:p>
        </w:tc>
        <w:tc>
          <w:tcPr>
            <w:tcW w:type="dxa" w:w="2381"/>
            <w:shd w:fill="EDEDED"/>
            <w:tcMar>
              <w:top w:w="90" w:type="dxa"/>
              <w:start w:w="110" w:type="dxa"/>
              <w:bottom w:w="90" w:type="dxa"/>
              <w:end w:w="110" w:type="dxa"/>
            </w:tcMar>
          </w:tcPr>
          <w:p>
            <w:pPr>
              <w:spacing w:after="0"/>
            </w:pPr>
            <w:r/>
            <w:r>
              <w:rPr>
                <w:rFonts w:ascii="Aptos" w:hAnsi="Aptos"/>
                <w:b/>
                <w:i w:val="0"/>
                <w:color w:val="961419"/>
                <w:sz w:val="18"/>
              </w:rPr>
              <w:t>Adatkezelés helye</w:t>
            </w:r>
          </w:p>
        </w:tc>
        <w:tc>
          <w:tcPr>
            <w:tcW w:type="dxa" w:w="1927"/>
            <w:shd w:fill="EDEDED"/>
            <w:tcMar>
              <w:top w:w="90" w:type="dxa"/>
              <w:start w:w="110" w:type="dxa"/>
              <w:bottom w:w="90" w:type="dxa"/>
              <w:end w:w="110" w:type="dxa"/>
            </w:tcMar>
          </w:tcPr>
          <w:p>
            <w:pPr>
              <w:spacing w:after="0"/>
            </w:pPr>
            <w:r/>
            <w:r>
              <w:rPr>
                <w:rFonts w:ascii="Aptos" w:hAnsi="Aptos"/>
                <w:b/>
                <w:i w:val="0"/>
                <w:color w:val="961419"/>
                <w:sz w:val="18"/>
              </w:rPr>
              <w:t>Jóváhagyás</w:t>
            </w:r>
          </w:p>
        </w:tc>
      </w:tr>
      <w:tr>
        <w:trPr>
          <w:cantSplit/>
        </w:trPr>
        <w:tc>
          <w:tcPr>
            <w:tcW w:type="dxa" w:w="2437"/>
            <w:tcMar>
              <w:top w:w="90" w:type="dxa"/>
              <w:start w:w="110" w:type="dxa"/>
              <w:bottom w:w="90" w:type="dxa"/>
              <w:end w:w="110" w:type="dxa"/>
            </w:tcMar>
            <w:vAlign w:val="center"/>
          </w:tcPr>
          <w:p>
            <w:pPr>
              <w:spacing w:after="0"/>
            </w:pPr>
            <w:r/>
            <w:r>
              <w:rPr>
                <w:rFonts w:ascii="Aptos" w:hAnsi="Aptos"/>
                <w:b/>
                <w:i w:val="0"/>
                <w:color w:val="141414"/>
                <w:sz w:val="18"/>
              </w:rPr>
              <w:t>A projektindításkor kitöltendő</w:t>
            </w:r>
          </w:p>
        </w:tc>
        <w:tc>
          <w:tcPr>
            <w:tcW w:type="dxa" w:w="2721"/>
            <w:tcMar>
              <w:top w:w="90" w:type="dxa"/>
              <w:start w:w="110" w:type="dxa"/>
              <w:bottom w:w="90" w:type="dxa"/>
              <w:end w:w="110" w:type="dxa"/>
            </w:tcMar>
            <w:vAlign w:val="center"/>
          </w:tcPr>
          <w:p>
            <w:pPr>
              <w:spacing w:after="0"/>
            </w:pPr>
            <w:r/>
            <w:r>
              <w:rPr>
                <w:rFonts w:ascii="Aptos" w:hAnsi="Aptos"/>
                <w:b w:val="0"/>
                <w:i w:val="0"/>
                <w:color w:val="141414"/>
                <w:sz w:val="18"/>
              </w:rPr>
              <w:t>Tárhely / adatbázis / e-mail / streaming / analitika / hibakövetés</w:t>
            </w:r>
          </w:p>
        </w:tc>
        <w:tc>
          <w:tcPr>
            <w:tcW w:type="dxa" w:w="2381"/>
            <w:tcMar>
              <w:top w:w="90" w:type="dxa"/>
              <w:start w:w="110" w:type="dxa"/>
              <w:bottom w:w="90" w:type="dxa"/>
              <w:end w:w="110" w:type="dxa"/>
            </w:tcMar>
            <w:vAlign w:val="center"/>
          </w:tcPr>
          <w:p>
            <w:pPr>
              <w:spacing w:after="0"/>
            </w:pPr>
            <w:r/>
            <w:r>
              <w:rPr>
                <w:rFonts w:ascii="Aptos" w:hAnsi="Aptos"/>
                <w:b w:val="0"/>
                <w:i w:val="0"/>
                <w:color w:val="141414"/>
                <w:sz w:val="18"/>
              </w:rPr>
              <w:t>EU/EGT vagy megfelelő adattovábbítási garancia</w:t>
            </w:r>
          </w:p>
        </w:tc>
        <w:tc>
          <w:tcPr>
            <w:tcW w:type="dxa" w:w="1927"/>
            <w:tcMar>
              <w:top w:w="90" w:type="dxa"/>
              <w:start w:w="110" w:type="dxa"/>
              <w:bottom w:w="90" w:type="dxa"/>
              <w:end w:w="110" w:type="dxa"/>
            </w:tcMar>
            <w:vAlign w:val="center"/>
          </w:tcPr>
          <w:p>
            <w:pPr>
              <w:spacing w:after="0"/>
            </w:pPr>
            <w:r/>
            <w:r>
              <w:rPr>
                <w:rFonts w:ascii="Aptos" w:hAnsi="Aptos"/>
                <w:b w:val="0"/>
                <w:i w:val="0"/>
                <w:color w:val="141414"/>
                <w:sz w:val="18"/>
              </w:rPr>
              <w:t>Adatkezelő írásbeli jóváhagyása szükséges</w:t>
            </w:r>
          </w:p>
        </w:tc>
      </w:tr>
    </w:tbl>
    <w:p>
      <w:pPr>
        <w:spacing w:after="20"/>
      </w:pPr>
    </w:p>
    <w:p>
      <w:pPr>
        <w:pStyle w:val="Heading1"/>
        <w:keepNext/>
      </w:pPr>
      <w:r>
        <w:rPr>
          <w:rFonts w:ascii="Aptos" w:hAnsi="Aptos"/>
          <w:b/>
          <w:i w:val="0"/>
          <w:color w:val="961419"/>
          <w:sz w:val="26"/>
        </w:rPr>
        <w:t>9. Nemzetközi adattovábbítás</w:t>
      </w:r>
    </w:p>
    <w:p>
      <w:pPr>
        <w:pStyle w:val="DPAClause"/>
        <w:keepLines/>
        <w:ind w:left="408" w:hanging="408"/>
      </w:pPr>
      <w:r>
        <w:rPr>
          <w:rFonts w:ascii="Aptos" w:hAnsi="Aptos"/>
          <w:b/>
          <w:i w:val="0"/>
          <w:color w:val="141414"/>
          <w:sz w:val="20"/>
        </w:rPr>
        <w:t xml:space="preserve">9.1. </w:t>
      </w:r>
      <w:r>
        <w:rPr>
          <w:rFonts w:ascii="Aptos" w:hAnsi="Aptos"/>
          <w:b w:val="0"/>
          <w:i w:val="0"/>
          <w:color w:val="141414"/>
          <w:sz w:val="20"/>
        </w:rPr>
        <w:t>Személyes adat az Európai Gazdasági Térségen kívülre csak Adatkezelő előzetes írásbeli engedélyével és a GDPR V. fejezete szerinti érvényes továbbítási mechanizmus, szükség esetén kiegészítő intézkedések alkalmazásával továbbítható.</w:t>
      </w:r>
    </w:p>
    <w:p>
      <w:pPr>
        <w:pStyle w:val="Heading1"/>
        <w:keepNext/>
      </w:pPr>
      <w:r>
        <w:rPr>
          <w:rFonts w:ascii="Aptos" w:hAnsi="Aptos"/>
          <w:b/>
          <w:i w:val="0"/>
          <w:color w:val="961419"/>
          <w:sz w:val="26"/>
        </w:rPr>
        <w:t>10. Érintetti jogok és hatósági megkeresések</w:t>
      </w:r>
    </w:p>
    <w:p>
      <w:pPr>
        <w:pStyle w:val="DPAClause"/>
        <w:keepLines/>
        <w:ind w:left="408" w:hanging="408"/>
      </w:pPr>
      <w:r>
        <w:rPr>
          <w:rFonts w:ascii="Aptos" w:hAnsi="Aptos"/>
          <w:b/>
          <w:i w:val="0"/>
          <w:color w:val="141414"/>
          <w:sz w:val="20"/>
        </w:rPr>
        <w:t xml:space="preserve">10.1. </w:t>
      </w:r>
      <w:r>
        <w:rPr>
          <w:rFonts w:ascii="Aptos" w:hAnsi="Aptos"/>
          <w:b w:val="0"/>
          <w:i w:val="0"/>
          <w:color w:val="141414"/>
          <w:sz w:val="20"/>
        </w:rPr>
        <w:t>Adatfeldolgozó megfelelő technikai és szervezési intézkedésekkel segíti Adatkezelőt a hozzáférési, helyesbítési, törlési, korlátozási, tiltakozási és adathordozhatósági kérelmek teljesítésében.</w:t>
      </w:r>
    </w:p>
    <w:p>
      <w:pPr>
        <w:pStyle w:val="DPAClause"/>
        <w:keepLines/>
        <w:ind w:left="408" w:hanging="408"/>
      </w:pPr>
      <w:r>
        <w:rPr>
          <w:rFonts w:ascii="Aptos" w:hAnsi="Aptos"/>
          <w:b/>
          <w:i w:val="0"/>
          <w:color w:val="141414"/>
          <w:sz w:val="20"/>
        </w:rPr>
        <w:t xml:space="preserve">10.2. </w:t>
      </w:r>
      <w:r>
        <w:rPr>
          <w:rFonts w:ascii="Aptos" w:hAnsi="Aptos"/>
          <w:b w:val="0"/>
          <w:i w:val="0"/>
          <w:color w:val="141414"/>
          <w:sz w:val="20"/>
        </w:rPr>
        <w:t>Az érintett vagy hatóság közvetlen megkeresését legkésőbb 1 munkanapon belül továbbítja Adatkezelőnek, és érdemben csak Adatkezelő utasítása vagy jogszabályi kötelezettség alapján válaszol.</w:t>
      </w:r>
    </w:p>
    <w:p>
      <w:pPr>
        <w:pStyle w:val="Heading1"/>
        <w:keepNext/>
      </w:pPr>
      <w:r>
        <w:rPr>
          <w:rFonts w:ascii="Aptos" w:hAnsi="Aptos"/>
          <w:b/>
          <w:i w:val="0"/>
          <w:color w:val="961419"/>
          <w:sz w:val="26"/>
        </w:rPr>
        <w:t>11. Megfelelés támogatása és ellenőrzés</w:t>
      </w:r>
    </w:p>
    <w:p>
      <w:pPr>
        <w:pStyle w:val="DPAClause"/>
        <w:keepLines/>
        <w:ind w:left="408" w:hanging="408"/>
      </w:pPr>
      <w:r>
        <w:rPr>
          <w:rFonts w:ascii="Aptos" w:hAnsi="Aptos"/>
          <w:b/>
          <w:i w:val="0"/>
          <w:color w:val="141414"/>
          <w:sz w:val="20"/>
        </w:rPr>
        <w:t xml:space="preserve">11.1. </w:t>
      </w:r>
      <w:r>
        <w:rPr>
          <w:rFonts w:ascii="Aptos" w:hAnsi="Aptos"/>
          <w:b w:val="0"/>
          <w:i w:val="0"/>
          <w:color w:val="141414"/>
          <w:sz w:val="20"/>
        </w:rPr>
        <w:t>Adatfeldolgozó a rendelkezésére álló információkkal segíti Adatkezelőt a biztonsági, incidensbejelentési, adatvédelmi hatásvizsgálati és előzetes konzultációs kötelezettségek teljesítésében.</w:t>
      </w:r>
    </w:p>
    <w:p>
      <w:pPr>
        <w:pStyle w:val="DPAClause"/>
        <w:keepLines/>
        <w:ind w:left="408" w:hanging="408"/>
      </w:pPr>
      <w:r>
        <w:rPr>
          <w:rFonts w:ascii="Aptos" w:hAnsi="Aptos"/>
          <w:b/>
          <w:i w:val="0"/>
          <w:color w:val="141414"/>
          <w:sz w:val="20"/>
        </w:rPr>
        <w:t xml:space="preserve">11.2. </w:t>
      </w:r>
      <w:r>
        <w:rPr>
          <w:rFonts w:ascii="Aptos" w:hAnsi="Aptos"/>
          <w:b w:val="0"/>
          <w:i w:val="0"/>
          <w:color w:val="141414"/>
          <w:sz w:val="20"/>
        </w:rPr>
        <w:t>Adatfeldolgozó az e mellékletnek való megfelelés igazolásához szükséges információkat rendelkezésre bocsátja, és évente egy alkalommal, továbbá incidens vagy megalapozott megfelelési kétség esetén észszerű előzetes értesítéssel lehetővé teszi az Adatkezelő vagy független ellenőre auditját. Az audit nem veszélyeztetheti más ügyfelek titkait vagy a rendszerek biztonságát.</w:t>
      </w:r>
    </w:p>
    <w:p>
      <w:pPr>
        <w:pStyle w:val="Heading1"/>
        <w:keepNext/>
      </w:pPr>
      <w:r>
        <w:rPr>
          <w:rFonts w:ascii="Aptos" w:hAnsi="Aptos"/>
          <w:b/>
          <w:i w:val="0"/>
          <w:color w:val="961419"/>
          <w:sz w:val="26"/>
        </w:rPr>
        <w:t>12. Adatok visszaadása és törlése</w:t>
      </w:r>
    </w:p>
    <w:p>
      <w:pPr>
        <w:pStyle w:val="DPAClause"/>
        <w:keepLines/>
        <w:ind w:left="408" w:hanging="408"/>
      </w:pPr>
      <w:r>
        <w:rPr>
          <w:rFonts w:ascii="Aptos" w:hAnsi="Aptos"/>
          <w:b/>
          <w:i w:val="0"/>
          <w:color w:val="141414"/>
          <w:sz w:val="20"/>
        </w:rPr>
        <w:t xml:space="preserve">12.1. </w:t>
      </w:r>
      <w:r>
        <w:rPr>
          <w:rFonts w:ascii="Aptos" w:hAnsi="Aptos"/>
          <w:b w:val="0"/>
          <w:i w:val="0"/>
          <w:color w:val="141414"/>
          <w:sz w:val="20"/>
        </w:rPr>
        <w:t>A fő szerződés megszűnésekor vagy Adatkezelő utasítására Adatfeldolgozó az adatokat strukturált, általánosan használt formátumban visszaadja, majd – ha uniós vagy tagállami jog megőrzést nem ír elő – az aktív rendszereiből legkésőbb 15 napon belül törli.</w:t>
      </w:r>
    </w:p>
    <w:p>
      <w:pPr>
        <w:pStyle w:val="DPAClause"/>
        <w:keepLines/>
        <w:ind w:left="408" w:hanging="408"/>
      </w:pPr>
      <w:r>
        <w:rPr>
          <w:rFonts w:ascii="Aptos" w:hAnsi="Aptos"/>
          <w:b/>
          <w:i w:val="0"/>
          <w:color w:val="141414"/>
          <w:sz w:val="20"/>
        </w:rPr>
        <w:t xml:space="preserve">12.2. </w:t>
      </w:r>
      <w:r>
        <w:rPr>
          <w:rFonts w:ascii="Aptos" w:hAnsi="Aptos"/>
          <w:b w:val="0"/>
          <w:i w:val="0"/>
          <w:color w:val="141414"/>
          <w:sz w:val="20"/>
        </w:rPr>
        <w:t>A mentésekben maradó példányokat a rendes felülírási ciklus szerint, de legkésőbb 90 napon belül törli vagy véglegesen hozzáférhetetlenné teszi. A törlés megtörténtét írásban igazolja.</w:t>
      </w:r>
    </w:p>
    <w:p>
      <w:pPr>
        <w:pStyle w:val="Heading1"/>
        <w:keepNext/>
      </w:pPr>
      <w:r>
        <w:rPr>
          <w:rFonts w:ascii="Aptos" w:hAnsi="Aptos"/>
          <w:b/>
          <w:i w:val="0"/>
          <w:color w:val="961419"/>
          <w:sz w:val="26"/>
        </w:rPr>
        <w:t>13. Felelősség és elsőbbség</w:t>
      </w:r>
    </w:p>
    <w:p>
      <w:pPr>
        <w:pStyle w:val="DPAClause"/>
        <w:keepLines/>
        <w:ind w:left="408" w:hanging="408"/>
      </w:pPr>
      <w:r>
        <w:rPr>
          <w:rFonts w:ascii="Aptos" w:hAnsi="Aptos"/>
          <w:b/>
          <w:i w:val="0"/>
          <w:color w:val="141414"/>
          <w:sz w:val="20"/>
        </w:rPr>
        <w:t xml:space="preserve">13.1. </w:t>
      </w:r>
      <w:r>
        <w:rPr>
          <w:rFonts w:ascii="Aptos" w:hAnsi="Aptos"/>
          <w:b w:val="0"/>
          <w:i w:val="0"/>
          <w:color w:val="141414"/>
          <w:sz w:val="20"/>
        </w:rPr>
        <w:t>A Felek adatvédelmi felelősségére a GDPR, a vonatkozó magyar jog és a fő szerződés irányadó. Adatfeldolgozó haladéktalanul tájékoztatja Adatkezelőt minden olyan körülményről, amely a jelen kötelezettségek teljesítését veszélyezteti.</w:t>
      </w:r>
    </w:p>
    <w:p>
      <w:pPr>
        <w:pStyle w:val="DPAClause"/>
        <w:keepLines/>
        <w:ind w:left="408" w:hanging="408"/>
      </w:pPr>
      <w:r>
        <w:rPr>
          <w:rFonts w:ascii="Aptos" w:hAnsi="Aptos"/>
          <w:b/>
          <w:i w:val="0"/>
          <w:color w:val="141414"/>
          <w:sz w:val="20"/>
        </w:rPr>
        <w:t xml:space="preserve">13.2. </w:t>
      </w:r>
      <w:r>
        <w:rPr>
          <w:rFonts w:ascii="Aptos" w:hAnsi="Aptos"/>
          <w:b w:val="0"/>
          <w:i w:val="0"/>
          <w:color w:val="141414"/>
          <w:sz w:val="20"/>
        </w:rPr>
        <w:t>A jelen melléklet és a fő szerződés adatfeldolgozásra vonatkozó eltérése esetén a jelen melléklet rendelkezései irányadók.</w:t>
      </w:r>
    </w:p>
    <w:p>
      <w:pPr>
        <w:keepLines/>
        <w:spacing w:after="360" w:line="269" w:lineRule="auto"/>
      </w:pPr>
      <w:r>
        <w:rPr>
          <w:rFonts w:ascii="Aptos" w:hAnsi="Aptos"/>
          <w:b w:val="0"/>
          <w:i w:val="0"/>
          <w:color w:val="141414"/>
          <w:sz w:val="20"/>
        </w:rPr>
        <w:t>Kelt: ______________________________, 2026. __________________ hó ______ napján.</w:t>
      </w:r>
    </w:p>
    <w:tbl>
      <w:tblPr>
        <w:tblW w:type="dxa" w:w="9467"/>
        <w:jc w:val="center"/>
        <w:tblLayout w:type="fixed"/>
        <w:tblLook w:firstColumn="1" w:firstRow="1" w:lastColumn="0" w:lastRow="0" w:noHBand="0" w:noVBand="1" w:val="04A0"/>
      </w:tblPr>
      <w:tblGrid>
        <w:gridCol w:w="4734"/>
        <w:gridCol w:w="4734"/>
      </w:tblGrid>
      <w:tr>
        <w:tc>
          <w:tcPr>
            <w:tcW w:type="dxa" w:w="4733"/>
            <w:tcMar>
              <w:top w:w="260" w:type="dxa"/>
              <w:start w:w="150" w:type="dxa"/>
              <w:bottom w:w="80" w:type="dxa"/>
              <w:end w:w="150" w:type="dxa"/>
            </w:tcMar>
          </w:tcPr>
          <w:p>
            <w:pPr>
              <w:jc w:val="center"/>
            </w:pPr>
            <w:r/>
            <w:r>
              <w:rPr>
                <w:rFonts w:ascii="Aptos" w:hAnsi="Aptos"/>
                <w:b w:val="0"/>
                <w:i w:val="0"/>
                <w:color w:val="5A5A5A"/>
                <w:sz w:val="20"/>
              </w:rPr>
              <w:t>________________________________</w:t>
            </w:r>
          </w:p>
          <w:p>
            <w:pPr>
              <w:spacing w:after="20"/>
              <w:jc w:val="center"/>
            </w:pPr>
            <w:r>
              <w:rPr>
                <w:rFonts w:ascii="Aptos" w:hAnsi="Aptos"/>
                <w:b/>
                <w:i w:val="0"/>
                <w:color w:val="141414"/>
                <w:sz w:val="18"/>
              </w:rPr>
              <w:t>Adatkezelő</w:t>
            </w:r>
          </w:p>
          <w:p>
            <w:pPr>
              <w:spacing w:after="20"/>
              <w:jc w:val="center"/>
            </w:pPr>
            <w:r>
              <w:rPr>
                <w:rFonts w:ascii="Aptos" w:hAnsi="Aptos"/>
                <w:b w:val="0"/>
                <w:i w:val="0"/>
                <w:color w:val="141414"/>
                <w:sz w:val="18"/>
              </w:rPr>
              <w:t>Art and Techno Kft.</w:t>
            </w:r>
          </w:p>
          <w:p>
            <w:pPr>
              <w:spacing w:after="20"/>
              <w:jc w:val="center"/>
            </w:pPr>
            <w:r>
              <w:rPr>
                <w:rFonts w:ascii="Aptos" w:hAnsi="Aptos"/>
                <w:b w:val="0"/>
                <w:i w:val="0"/>
                <w:color w:val="141414"/>
                <w:sz w:val="18"/>
              </w:rPr>
              <w:t>Varga Ferenc ügyvezető</w:t>
            </w:r>
          </w:p>
        </w:tc>
        <w:tc>
          <w:tcPr>
            <w:tcW w:type="dxa" w:w="4733"/>
            <w:tcMar>
              <w:top w:w="260" w:type="dxa"/>
              <w:start w:w="150" w:type="dxa"/>
              <w:bottom w:w="80" w:type="dxa"/>
              <w:end w:w="150" w:type="dxa"/>
            </w:tcMar>
          </w:tcPr>
          <w:p>
            <w:pPr>
              <w:jc w:val="center"/>
            </w:pPr>
            <w:r/>
            <w:r>
              <w:rPr>
                <w:rFonts w:ascii="Aptos" w:hAnsi="Aptos"/>
                <w:b w:val="0"/>
                <w:i w:val="0"/>
                <w:color w:val="5A5A5A"/>
                <w:sz w:val="20"/>
              </w:rPr>
              <w:t>________________________________</w:t>
            </w:r>
          </w:p>
          <w:p>
            <w:pPr>
              <w:spacing w:after="20"/>
              <w:jc w:val="center"/>
            </w:pPr>
            <w:r>
              <w:rPr>
                <w:rFonts w:ascii="Aptos" w:hAnsi="Aptos"/>
                <w:b/>
                <w:i w:val="0"/>
                <w:color w:val="141414"/>
                <w:sz w:val="18"/>
              </w:rPr>
              <w:t>Adatfeldolgozó</w:t>
            </w:r>
          </w:p>
          <w:p>
            <w:pPr>
              <w:spacing w:after="20"/>
              <w:jc w:val="center"/>
            </w:pPr>
            <w:r>
              <w:rPr>
                <w:rFonts w:ascii="Aptos" w:hAnsi="Aptos"/>
                <w:b w:val="0"/>
                <w:i w:val="0"/>
                <w:color w:val="141414"/>
                <w:sz w:val="18"/>
              </w:rPr>
              <w:t>Szimulátor Technika Kft.</w:t>
            </w:r>
          </w:p>
          <w:p>
            <w:pPr>
              <w:spacing w:after="20"/>
              <w:jc w:val="center"/>
            </w:pPr>
            <w:r>
              <w:rPr>
                <w:rFonts w:ascii="Aptos" w:hAnsi="Aptos"/>
                <w:b w:val="0"/>
                <w:i w:val="0"/>
                <w:color w:val="141414"/>
                <w:sz w:val="18"/>
              </w:rPr>
              <w:t>Konyhás Krisztián</w:t>
            </w:r>
          </w:p>
        </w:tc>
      </w:tr>
    </w:tbl>
    <w:sectPr w:rsidR="00FC693F" w:rsidRPr="0006063C" w:rsidSect="00034616">
      <w:headerReference w:type="default" r:id="rId9"/>
      <w:footerReference w:type="default" r:id="rId10"/>
      <w:pgSz w:w="11906" w:h="16838"/>
      <w:pgMar w:top="1020" w:right="1219"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A5A5A"/>
        <w:sz w:val="16"/>
      </w:rPr>
      <w:t xml:space="preserve">Adatfeldolgozási Megállapodás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A5A5A"/>
        <w:sz w:val="17"/>
      </w:rPr>
      <w:t>ELITE FIGHT UNIVERSE  |  3. SZÁMÚ MELLÉKLET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PAClause">
    <w:name w:val="DPA Clause"/>
    <w:pPr>
      <w:spacing w:after="80" w:line="264" w:lineRule="auto"/>
    </w:pPr>
    <w:rPr>
      <w:rFonts w:ascii="Aptos" w:hAnsi="Aptos"/>
      <w:sz w:val="20"/>
    </w:rPr>
  </w:style>
  <w:style w:type="paragraph" w:customStyle="1" w:styleId="DPABullet">
    <w:name w:val="DPA Bullet"/>
    <w:pPr>
      <w:spacing w:after="80" w:line="264"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EFU 3. számú melléklet – Adatfeldolgozási Megállapodás</dc:title>
  <dc:subject>GDPR 28. cikk szerinti adatfeldolgozási feltételek</dc:subject>
  <dc:creator>Art and Techno Kft. és Szimulátor Technika Kft.</dc:creator>
  <cp:keywords/>
  <dc:description>generated by python-docx</dc:description>
  <cp:lastModifiedBy/>
  <cp:revision>1</cp:revision>
  <dcterms:created xsi:type="dcterms:W3CDTF">2013-12-23T23:15:00Z</dcterms:created>
  <dcterms:modified xsi:type="dcterms:W3CDTF">2013-12-23T23:15:00Z</dcterms:modified>
  <cp:category/>
</cp:coreProperties>
</file>