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rFonts w:ascii="Arial" w:hAnsi="Arial"/>
          <w:b/>
          <w:color w:val="1B365D"/>
          <w:sz w:val="44"/>
        </w:rPr>
        <w:t>CENTRA-T · SPECS GLOBALES</w:t>
      </w:r>
    </w:p>
    <w:p>
      <w:pPr>
        <w:pStyle w:val="Normal"/>
        <w:spacing w:before="0" w:after="280"/>
        <w:rPr/>
      </w:pPr>
      <w:r>
        <w:rPr>
          <w:rFonts w:ascii="Arial" w:hAnsi="Arial"/>
          <w:i/>
          <w:color w:val="64748B"/>
          <w:sz w:val="22"/>
        </w:rPr>
        <w:t>Documento Canónico 02 de 10 · Constitución Normativa y Quality Gates · Método zug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1. Propósito y Constitución Normativa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El presente documento constituye la constitución normativa y técnica transversal de Centra-T. Define los contratos, restricciones de entorno, líneas base de seguridad y barreras de calidad automatizadas (Quality Gates) que rigen de forma obligatoria e incondicional sobre todos los módulos del sistema (authentication, users, tasks, shopping, cleaning, workspace y calendar_sync). Ninguna decisión local de implementación o librería externa puede revocar o contradecir las directrices aquí establecidas.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2. Jerarquía Documental y Autoridades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Ante cualquier discrepancia, ambigüedad o conflicto interpretativo durante las fases de diseño, generación de FIAs, emisión de SPECs técnicas o implementación de código, se establece el siguiente orden estricto de prelación jurídica y técnica:</w:t>
      </w:r>
    </w:p>
    <w:tbl>
      <w:tblPr>
        <w:tblW w:w="9606" w:type="dxa"/>
        <w:jc w:val="center"/>
        <w:tblInd w:w="0" w:type="dxa"/>
        <w:tblLayout w:type="fixed"/>
        <w:tblCellMar>
          <w:top w:w="120" w:type="dxa"/>
          <w:left w:w="150" w:type="dxa"/>
          <w:bottom w:w="120" w:type="dxa"/>
          <w:right w:w="150" w:type="dxa"/>
        </w:tblCellMar>
        <w:tblLook w:val="04a0" w:noHBand="0" w:noVBand="1" w:firstColumn="1" w:lastRow="0" w:lastColumn="0" w:firstRow="1"/>
      </w:tblPr>
      <w:tblGrid>
        <w:gridCol w:w="3202"/>
        <w:gridCol w:w="3202"/>
        <w:gridCol w:w="3202"/>
      </w:tblGrid>
      <w:tr>
        <w:trPr/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Rango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Documento Canónico</w:t>
            </w:r>
          </w:p>
        </w:tc>
        <w:tc>
          <w:tcPr>
            <w:tcW w:w="3202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9"/>
              </w:rPr>
              <w:t>Ámbito de Autoridad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1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01_DOCUMENTO_MAESTRO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Autoridad Suprema. Define identidad, alcance innegociable, stack y criterios de aceptación globales.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2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02_SPECS_GLOBALES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Constitución Normativa. Rige variables de entorno, seguridad, linters y Quality Gates.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3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03_DOMAIN_MODEL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Ley de Negocio. Entidades, Value Objects, invariantes y reglas de dominio inmutables.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4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05_MODULE_MAP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Topografía Física. Árbol de directorios, límites entre módulos y aislamiento de archivos.</w:t>
            </w:r>
          </w:p>
        </w:tc>
      </w:tr>
      <w:tr>
        <w:trPr/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5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SUITE UI (06 al 10)</w:t>
            </w:r>
          </w:p>
        </w:tc>
        <w:tc>
          <w:tcPr>
            <w:tcW w:w="3202" w:type="dxa"/>
            <w:tcBorders/>
            <w:shd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Especificaciones de Interfaz. Layout, componentes, tokens visuales y matrices de estado UI.</w:t>
            </w:r>
          </w:p>
        </w:tc>
      </w:tr>
      <w:tr>
        <w:trPr/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7"/>
              </w:rPr>
              <w:t>Nivel 6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ÍNDICES Y FIAs TÁCTICAS</w:t>
            </w:r>
          </w:p>
        </w:tc>
        <w:tc>
          <w:tcPr>
            <w:tcW w:w="3202" w:type="dxa"/>
            <w:tcBorders/>
            <w:shd w:fill="F8FAFC"/>
            <w:tcMar>
              <w:top w:w="90" w:type="dxa"/>
              <w:left w:w="140" w:type="dxa"/>
              <w:bottom w:w="90" w:type="dxa"/>
              <w:right w:w="14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7"/>
              </w:rPr>
              <w:t>Planes Ejecutables. Trazabilidad atómica TDD y contratos de implementación física.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3. Desglose del Alcance por Subsistemas Troncales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 authentication (Backend): </w:t>
      </w:r>
      <w:r>
        <w:rPr>
          <w:rFonts w:ascii="Arial" w:hAnsi="Arial"/>
          <w:color w:val="1E293B"/>
          <w:sz w:val="20"/>
        </w:rPr>
        <w:t>Responsable exclusivo de la emisión, verificación y revocación de sesiones. Gestiona contraseñas cifradas, limitación de peticiones (Throttler) y emite cookies de sesión HttpOnly. Expone endpoints /api/v1/authentication/login y /api/v1/authentication/logout.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 users (Backend): </w:t>
      </w:r>
      <w:r>
        <w:rPr>
          <w:rFonts w:ascii="Arial" w:hAnsi="Arial"/>
          <w:color w:val="1E293B"/>
          <w:sz w:val="20"/>
        </w:rPr>
        <w:t>Responsable de la persistencia de usuarios, aislamiento de tenant y comprobación de unicidad de emails. Expone endpoint /api/v1/users (POST) para el registro y resuelve la identidad del usuario a partir del token de sesión.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Subsistemas tasks, shopping, cleaning (Backend): </w:t>
      </w:r>
      <w:r>
        <w:rPr>
          <w:rFonts w:ascii="Arial" w:hAnsi="Arial"/>
          <w:color w:val="1E293B"/>
          <w:sz w:val="20"/>
        </w:rPr>
        <w:t>Gestionan de forma desacoplada pero homogénea los tres dominios de elementos domésticos. Implementan CRUD, cambios de estado (completado/pendiente), asignación de fecha y vaciado masivo bajo estricto aislamiento por userId.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 workspace &amp; hub (Frontend): </w:t>
      </w:r>
      <w:r>
        <w:rPr>
          <w:rFonts w:ascii="Arial" w:hAnsi="Arial"/>
          <w:color w:val="1E293B"/>
          <w:sz w:val="20"/>
        </w:rPr>
        <w:t>Implementa el layout 1/3 (Hub) y 2/3 (Calendario) en Next.js. El Hub contiene los tres acordeones independientes con contadores reactivos. El Calendario gestiona la navegación de meses y días con indicadores de tareas.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 filters_and_sort (Frontend): </w:t>
      </w:r>
      <w:r>
        <w:rPr>
          <w:rFonts w:ascii="Arial" w:hAnsi="Arial"/>
          <w:color w:val="1E293B"/>
          <w:sz w:val="20"/>
        </w:rPr>
        <w:t>Motor reactivo en cliente (Next.js) que ejecuta la combinación lógica AND de filtros (Prioridad + Rango de Fechas + Estado) y la reordenación multinivel determinista con resolución de empates.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Subsistema calendar_sync (Frontend / Backend): </w:t>
      </w:r>
      <w:r>
        <w:rPr>
          <w:rFonts w:ascii="Arial" w:hAnsi="Arial"/>
          <w:color w:val="1E293B"/>
          <w:sz w:val="20"/>
        </w:rPr>
        <w:t>Coordina la sincronización bidireccional entre el Hub y el Calendario. Soporta Drag &amp; Drop con bloqueo de fechas pasadas, confirmación modal al mover tareas ya fechadas y arrastre masivo de la lista de compra.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4. Gestión Estricta de Variables de Entorno (Fail-Fast al Arranque)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Centra-T aplica una política estricta de validación Fail-Fast: al arrancar el servidor backend o la aplicación frontend, se evalúa el esquema de variables de entorno mediante un validador fuertemente tipado (Zod / Joi / class-validator). Si falta una sola variable requerida o su formato no es válido, el proceso se aborta inmediatamente con código de salida 1 (exit code 1) imprimiendo el error exacto en consola, impidiendo arrancar en estados corruptos.</w:t>
      </w:r>
    </w:p>
    <w:p>
      <w:pPr>
        <w:pStyle w:val="Normal"/>
        <w:keepNext w:val="true"/>
        <w:spacing w:before="200" w:after="80"/>
        <w:rPr/>
      </w:pPr>
      <w:r>
        <w:rPr>
          <w:rFonts w:ascii="Arial" w:hAnsi="Arial"/>
          <w:b/>
          <w:color w:val="4A6182"/>
          <w:sz w:val="23"/>
        </w:rPr>
        <w:t>Inventario Oficial de Variables de Entorno (Backend NestJS)</w:t>
      </w:r>
    </w:p>
    <w:tbl>
      <w:tblPr>
        <w:tblW w:w="9605" w:type="dxa"/>
        <w:jc w:val="center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  <w:tblLook w:val="04a0" w:noHBand="0" w:noVBand="1" w:firstColumn="1" w:lastRow="0" w:lastColumn="0" w:firstRow="1"/>
      </w:tblPr>
      <w:tblGrid>
        <w:gridCol w:w="1921"/>
        <w:gridCol w:w="1921"/>
        <w:gridCol w:w="1921"/>
        <w:gridCol w:w="1921"/>
        <w:gridCol w:w="1921"/>
      </w:tblGrid>
      <w:tr>
        <w:trPr/>
        <w:tc>
          <w:tcPr>
            <w:tcW w:w="1921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w="1921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w="1921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Req</w:t>
            </w:r>
          </w:p>
        </w:tc>
        <w:tc>
          <w:tcPr>
            <w:tcW w:w="1921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Propósito Técnico</w:t>
            </w:r>
          </w:p>
        </w:tc>
        <w:tc>
          <w:tcPr>
            <w:tcW w:w="1921" w:type="dxa"/>
            <w:tcBorders/>
            <w:shd w:fill="1B365D"/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FFFFFF"/>
                <w:sz w:val="18"/>
              </w:rPr>
              <w:t>Valor Ejemplo</w:t>
            </w:r>
          </w:p>
        </w:tc>
      </w:tr>
      <w:tr>
        <w:trPr/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NODE_ENV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Entorno de ejecución (development / test / production)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production</w:t>
            </w:r>
          </w:p>
        </w:tc>
      </w:tr>
      <w:tr>
        <w:trPr/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PORT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number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Puerto de escucha del servidor HTTP NestJS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4000</w:t>
            </w:r>
          </w:p>
        </w:tc>
      </w:tr>
      <w:tr>
        <w:trPr/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DATABASE_HOST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Host del servidor PostgreSQL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localhost</w:t>
            </w:r>
          </w:p>
        </w:tc>
      </w:tr>
      <w:tr>
        <w:trPr/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DATABASE_PORT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number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Puerto de conexión de base de datos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5432</w:t>
            </w:r>
          </w:p>
        </w:tc>
      </w:tr>
      <w:tr>
        <w:trPr/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DATABASE_USER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Usuario con permisos sobre la base de datos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centrat_app</w:t>
            </w:r>
          </w:p>
        </w:tc>
      </w:tr>
      <w:tr>
        <w:trPr/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DATABASE_PASSWORD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Contraseña segura de base de datos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Pass_Segura_2026!</w:t>
            </w:r>
          </w:p>
        </w:tc>
      </w:tr>
      <w:tr>
        <w:trPr/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DATABASE_NAME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Nombre de la base de datos relacional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centrat_prod</w:t>
            </w:r>
          </w:p>
        </w:tc>
      </w:tr>
      <w:tr>
        <w:trPr/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SESSION_SECRET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Secreto criptográfico para firma de cookies JWT (mín 64 chars)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sec_9a8f...b7c2</w:t>
            </w:r>
          </w:p>
        </w:tc>
      </w:tr>
      <w:tr>
        <w:trPr/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SESSION_TTL_HOURS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number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Tiempo de vida de la sesión de usuario en horas</w:t>
            </w:r>
          </w:p>
        </w:tc>
        <w:tc>
          <w:tcPr>
            <w:tcW w:w="1921" w:type="dxa"/>
            <w:tcBorders/>
            <w:shd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24</w:t>
            </w:r>
          </w:p>
        </w:tc>
      </w:tr>
      <w:tr>
        <w:trPr/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b/>
                <w:color w:val="1E293B"/>
                <w:sz w:val="16"/>
              </w:rPr>
              <w:t>CORS_ORIGIN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string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S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URL permitida para peticiones cruzadas (Frontend URL)</w:t>
            </w:r>
          </w:p>
        </w:tc>
        <w:tc>
          <w:tcPr>
            <w:tcW w:w="1921" w:type="dxa"/>
            <w:tcBorders/>
            <w:shd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pStyle w:val="Normal"/>
              <w:widowControl/>
              <w:bidi w:val="0"/>
              <w:spacing w:lineRule="auto" w:line="276" w:before="0" w:after="200"/>
              <w:jc w:val="left"/>
              <w:rPr/>
            </w:pPr>
            <w:r>
              <w:rPr>
                <w:rFonts w:ascii="Arial" w:hAnsi="Arial"/>
                <w:color w:val="1E293B"/>
                <w:sz w:val="16"/>
              </w:rPr>
              <w:t>http://localhost:3000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5. Quality Gates Transversales del Repositorio</w:t>
      </w:r>
    </w:p>
    <w:p>
      <w:pPr>
        <w:pStyle w:val="Normal"/>
        <w:spacing w:lineRule="auto" w:line="276" w:before="0" w:after="80"/>
        <w:rPr/>
      </w:pPr>
      <w:r>
        <w:rPr>
          <w:rFonts w:ascii="Arial" w:hAnsi="Arial"/>
          <w:i w:val="false"/>
          <w:color w:val="1E293B"/>
          <w:sz w:val="20"/>
        </w:rPr>
        <w:t>Para asegurar que ningún commit ni pull request degrade la calidad del código, se establecen barreras de control automatizadas divididas en dos fases ineludibles: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1. Pre-commit Gate (Local / Git Hook): </w:t>
      </w:r>
      <w:r>
        <w:rPr>
          <w:rFonts w:ascii="Arial" w:hAnsi="Arial"/>
          <w:color w:val="1E293B"/>
          <w:sz w:val="20"/>
        </w:rPr>
        <w:t>Se ejecuta automáticamente antes de registrar cualquier commit local mediante Husky y lint-staged. Verifica formato (Prettier), ausencia de errores estáticos (ESLint con reglas estrictas de TypeScript) y ejecución de la suite de tests unitarios rápidos (&lt; 10 segundos). Si un solo test falla o un archivo incumple reglas de estilo, el commit se rechaza automáticamente.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2. Pre-push &amp; CI Pipeline Gate: </w:t>
      </w:r>
      <w:r>
        <w:rPr>
          <w:rFonts w:ascii="Arial" w:hAnsi="Arial"/>
          <w:color w:val="1E293B"/>
          <w:sz w:val="20"/>
        </w:rPr>
        <w:t>Se ejecuta antes de permitir la subida de cambios (pre-push) y en el servidor de integración continua (CI). Ejecuta: 1) Comprobación de tipos estricta (tsc --noEmit); 2) Batería completa de tests de integración contra base de datos de test efímera; 3) Auditoría de cobertura honesta 100/80/0 (100% en servicios de negocio y validadores, 80% en controladores e integración); 4) Auditoría de dependencias (npm audit / yarn audit con cero vulnerabilidades críticas o altas).</w:t>
      </w:r>
    </w:p>
    <w:p>
      <w:pPr>
        <w:pStyle w:val="Normal"/>
        <w:keepNext w:val="true"/>
        <w:spacing w:before="280" w:after="120"/>
        <w:rPr/>
      </w:pPr>
      <w:r>
        <w:rPr>
          <w:rFonts w:ascii="Arial" w:hAnsi="Arial"/>
          <w:b/>
          <w:color w:val="1B365D"/>
          <w:sz w:val="26"/>
        </w:rPr>
        <w:t>6. Línea Base de Seguridad y Auditoría Forense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1. Parse, Don't Validate en Frontera: </w:t>
      </w:r>
      <w:r>
        <w:rPr>
          <w:rFonts w:ascii="Arial" w:hAnsi="Arial"/>
          <w:color w:val="1E293B"/>
          <w:sz w:val="20"/>
        </w:rPr>
        <w:t>Toda petición HTTP entrante atraviesa de forma obligatoria el ValidationPipe global de NestJS configurado con: whitelist: true (elimina automáticamente cualquier propiedad no definida en el DTO), forbidNonWhitelisted: true (lanza Bad Request si se envían parámetros adicionales maliciosos) y transform: true (coerción estricta de tipos).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2. Blindaje de Sesión y Transporte: </w:t>
      </w:r>
      <w:r>
        <w:rPr>
          <w:rFonts w:ascii="Arial" w:hAnsi="Arial"/>
          <w:color w:val="1E293B"/>
          <w:sz w:val="20"/>
        </w:rPr>
        <w:t>Cabecera Set-Cookie configurada con flags HttpOnly (inaccesible desde scripts de cliente / document.cookie), Secure (solo transmitida bajo TLS/HTTPS en producción) y SameSite=Strict (mitigación total de ataques CSRF).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3. Cabeceras Defensivas HTTP (Helmet): </w:t>
      </w:r>
      <w:r>
        <w:rPr>
          <w:rFonts w:ascii="Arial" w:hAnsi="Arial"/>
          <w:color w:val="1E293B"/>
          <w:sz w:val="20"/>
        </w:rPr>
        <w:t>Implementación obligatoria de Helmet en NestJS para configurar cabeceras defensivas HTTP (Content-Security-Policy estricta, X-Content-Type-Options: nosniff, X-Frame-Options: DENY contra ataques de Clickjacking, y HSTS habilitado).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4. Auditoría y Logs Estructurados sin Datos Sensibles: </w:t>
      </w:r>
      <w:r>
        <w:rPr>
          <w:rFonts w:ascii="Arial" w:hAnsi="Arial"/>
          <w:color w:val="1E293B"/>
          <w:sz w:val="20"/>
        </w:rPr>
        <w:t>Todos los registros de ejecución del servidor se emiten en formato JSON estructurado con timestamp ISO 8601, contexto del módulo y nivel de severidad (INFO, WARN, ERROR). Queda taxativamente prohibido registrar contraseñas, hashes, tokens de sesión o información personal identificable (PII) en los logs.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/>
      </w:pPr>
      <w:r>
        <w:rPr>
          <w:rFonts w:ascii="Arial" w:hAnsi="Arial"/>
          <w:b/>
          <w:color w:val="1E293B"/>
          <w:sz w:val="20"/>
        </w:rPr>
        <w:t xml:space="preserve">5. Mitigación de IDOR e Inyección SQL: </w:t>
      </w:r>
      <w:r>
        <w:rPr>
          <w:rFonts w:ascii="Arial" w:hAnsi="Arial"/>
          <w:color w:val="1E293B"/>
          <w:sz w:val="20"/>
        </w:rPr>
        <w:t>Toda mutación o lectura de base de datos se ejecuta mediante el motor ORM parametrizado con cláusula WHERE user_id = :userId validado criptográficamente en el middleware de autenticación, imposibilitando inyecciones SQL o saltos de tenant horizontales (IDOR).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3</Pages>
  <Words>1057</Words>
  <Characters>6413</Characters>
  <CharactersWithSpaces>7354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