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b/>
          <w:color w:val="2563EB"/>
          <w:sz w:val="20"/>
        </w:rPr>
        <w:t>CENTRA-T · MÉTODO ZUG · FASE 2: PLAN DE CONSTRUCCIÓN TDD</w:t>
        <w:br/>
      </w:r>
      <w:r>
        <w:rPr>
          <w:b/>
          <w:color w:val="0F172A"/>
          <w:sz w:val="40"/>
        </w:rPr>
        <w:t>DOCUMENTO 12: ÍNDICE RV → FIA (FASE GREEN)</w:t>
      </w:r>
    </w:p>
    <w:p>
      <w:pPr>
        <w:pStyle w:val="Normal"/>
        <w:spacing w:before="0" w:after="280"/>
        <w:rPr/>
      </w:pPr>
      <w:r>
        <w:rPr>
          <w:i/>
          <w:color w:val="4B5563"/>
          <w:sz w:val="20"/>
        </w:rPr>
        <w:t>Catálogo Maestro de Fichas de Implementación Atómica (FIAs) · Despiece de Rebanadas Verticales para la Fábrica de Software</w:t>
      </w:r>
    </w:p>
    <w:p>
      <w:pPr>
        <w:pStyle w:val="Heading1"/>
        <w:spacing w:before="240" w:after="120"/>
        <w:rPr/>
      </w:pPr>
      <w:r>
        <w:rPr>
          <w:b/>
          <w:color w:val="0F172A"/>
          <w:sz w:val="28"/>
        </w:rPr>
        <w:t>1. Regla de Granularidad Atómica y Doctrina de Construcción</w:t>
      </w:r>
    </w:p>
    <w:p>
      <w:pPr>
        <w:pStyle w:val="Normal"/>
        <w:spacing w:before="0" w:after="120"/>
        <w:rPr/>
      </w:pPr>
      <w:r>
        <w:rPr/>
        <w:t>El presente documento culmina la Fase 2 del Agente Documentador y establece el inventario definitivo de unidades ejecutables que alimentará directamente la apertura de la fábrica de software (Agente Generador de FIAs y Agente Implementador). Cada fila de este índice representa el GREEN del TDD Arquitectónico: el código mínimo y necesario para satisfacer las 31 VFs congeladas en la Fase RED.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/>
          <w:color w:val="0F172A"/>
        </w:rPr>
        <w:t xml:space="preserve">Granularidad Atómica Estricta (1 Sesión = 1 FIA): </w:t>
      </w:r>
      <w:r>
        <w:rPr/>
        <w:t>Cada FIA define una unidad cerrada de trabajo que el Implementador debe poder codificar, probar y sellar formalmente en una única sesión de ejecución sin arrastrar dependencias abiertas.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/>
          <w:color w:val="0F172A"/>
        </w:rPr>
        <w:t xml:space="preserve">Doctrina NO LOCK → NO NEXT: </w:t>
      </w:r>
      <w:r>
        <w:rPr/>
        <w:t>Queda terminantemente prohibido iniciar una nueva FIA sin haber obtenido la evidencia técnica de cierre de la anterior (tests en verde, verificación funcional y LOCK formal).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/>
          <w:color w:val="0F172A"/>
        </w:rPr>
        <w:t xml:space="preserve">Alineación con la Suite Maestra: </w:t>
      </w:r>
      <w:r>
        <w:rPr/>
        <w:t>Toda FIA responde con absoluta fidelidad a las decisiones de diseño congeladas en los Documentos 01 a 10 (Arquitectura MVC Modular en NestJS, Clean Frontend en Next.js/React, aislamiento multi-tenant por userId, mitigaciones OWASP y Cobertura Honesta 100/80/0).</w:t>
      </w:r>
    </w:p>
    <w:p>
      <w:pPr>
        <w:pStyle w:val="Heading1"/>
        <w:spacing w:before="320" w:after="120"/>
        <w:rPr/>
      </w:pPr>
      <w:r>
        <w:rPr>
          <w:b/>
          <w:color w:val="0F172A"/>
          <w:sz w:val="28"/>
        </w:rPr>
        <w:t>2. Catálogo Matricial RV → FIA (Fase GREEN)</w:t>
      </w:r>
    </w:p>
    <w:p>
      <w:pPr>
        <w:pStyle w:val="Normal"/>
        <w:spacing w:before="0" w:after="160"/>
        <w:rPr/>
      </w:pPr>
      <w:r>
        <w:rPr/>
        <w:t>Estructura tabular obligatoria de 6 columnas. Cada registro nutre directamente la cabecera de Identificación del Agente Generador de FIAs:</w:t>
      </w:r>
    </w:p>
    <w:tbl>
      <w:tblPr>
        <w:tblW w:w="10512" w:type="dxa"/>
        <w:jc w:val="center"/>
        <w:tblInd w:w="0" w:type="dxa"/>
        <w:tblLayout w:type="fixed"/>
        <w:tblCellMar>
          <w:top w:w="140" w:type="dxa"/>
          <w:left w:w="100" w:type="dxa"/>
          <w:bottom w:w="140" w:type="dxa"/>
          <w:right w:w="100" w:type="dxa"/>
        </w:tblCellMar>
        <w:tblLook w:val="04a0" w:noHBand="0" w:noVBand="1" w:firstColumn="1" w:lastRow="0" w:lastColumn="0" w:firstRow="1"/>
      </w:tblPr>
      <w:tblGrid>
        <w:gridCol w:w="1752"/>
        <w:gridCol w:w="1751"/>
        <w:gridCol w:w="1753"/>
        <w:gridCol w:w="1752"/>
        <w:gridCol w:w="1751"/>
        <w:gridCol w:w="1752"/>
      </w:tblGrid>
      <w:tr>
        <w:trPr>
          <w:tblHeader w:val="true"/>
        </w:trPr>
        <w:tc>
          <w:tcPr>
            <w:tcW w:w="1752" w:type="dxa"/>
            <w:tcBorders/>
            <w:shd w:fill="0F172A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7"/>
              </w:rPr>
              <w:t>FIA</w:t>
            </w:r>
          </w:p>
        </w:tc>
        <w:tc>
          <w:tcPr>
            <w:tcW w:w="1751" w:type="dxa"/>
            <w:tcBorders/>
            <w:shd w:fill="0F172A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7"/>
              </w:rPr>
              <w:t>Rebanada Vertical</w:t>
            </w:r>
          </w:p>
        </w:tc>
        <w:tc>
          <w:tcPr>
            <w:tcW w:w="1753" w:type="dxa"/>
            <w:tcBorders/>
            <w:shd w:fill="0F172A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7"/>
              </w:rPr>
              <w:t>Unidad Prevista</w:t>
            </w:r>
          </w:p>
        </w:tc>
        <w:tc>
          <w:tcPr>
            <w:tcW w:w="1752" w:type="dxa"/>
            <w:tcBorders/>
            <w:shd w:fill="0F172A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7"/>
              </w:rPr>
              <w:t>Objetivo Técnico y Funcional</w:t>
            </w:r>
          </w:p>
        </w:tc>
        <w:tc>
          <w:tcPr>
            <w:tcW w:w="1751" w:type="dxa"/>
            <w:tcBorders/>
            <w:shd w:fill="0F172A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7"/>
              </w:rPr>
              <w:t>Validación</w:t>
            </w:r>
          </w:p>
        </w:tc>
        <w:tc>
          <w:tcPr>
            <w:tcW w:w="1752" w:type="dxa"/>
            <w:tcBorders/>
            <w:shd w:fill="0F172A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7"/>
              </w:rPr>
              <w:t>Evidencia de Cierre</w:t>
            </w:r>
          </w:p>
        </w:tc>
      </w:tr>
      <w:tr>
        <w:trPr/>
        <w:tc>
          <w:tcPr>
            <w:tcW w:w="10511" w:type="dxa"/>
            <w:gridSpan w:val="6"/>
            <w:tcBorders/>
            <w:shd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93C5FD"/>
                <w:sz w:val="19"/>
              </w:rPr>
              <w:t xml:space="preserve">■  </w:t>
            </w:r>
            <w:r>
              <w:rPr>
                <w:b/>
                <w:color w:val="93C5FD"/>
                <w:sz w:val="19"/>
              </w:rPr>
              <w:t>RV-A01 · Scaffolding UI Base y Topología Espacial del Workspace (Scaffolding Primero)</w:t>
            </w:r>
          </w:p>
        </w:tc>
      </w:tr>
      <w:tr>
        <w:trPr/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FIA-A01.01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RV-A01 · Scaffolding</w:t>
            </w:r>
          </w:p>
        </w:tc>
        <w:tc>
          <w:tcPr>
            <w:tcW w:w="1753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Shell y Layout Base del Workspace (2 Col)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Implementar layout responsive general: TopNavbar superior fijo (h=64px), contenedor Hub lateral (w=380px) y área de trabajo para Calendario Mensual a pantalla completa.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src/workspace/components/WorkspaceLayout.tsx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Prueba de renderizado RTL y viewport 1920x1080 / 1366x768 validando presencia de roles semánticos (banner, complementary, main) y CLS=0.</w:t>
            </w:r>
          </w:p>
        </w:tc>
      </w:tr>
      <w:tr>
        <w:trPr/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FIA-A01.02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RV-A01 · Scaffolding</w:t>
            </w:r>
          </w:p>
        </w:tc>
        <w:tc>
          <w:tcPr>
            <w:tcW w:w="1753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Mecanismo Colapsable Reactivo del Hub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Implementar hook de estado visual y botón toggle con transición CSS (&lt;=200ms) que colapsa el Hub a 0px y expande el área de trabajo al 100% conservando estado interno.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src/hub/components/HubContainer.tsx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Clic en toggle conmuta ancho de paneles sin recarga ni parpadeo visual; estado de apertura persistido reactivamente.</w:t>
            </w:r>
          </w:p>
        </w:tc>
      </w:tr>
      <w:tr>
        <w:trPr/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FIA-A01.03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RV-A01 · Scaffolding</w:t>
            </w:r>
          </w:p>
        </w:tc>
        <w:tc>
          <w:tcPr>
            <w:tcW w:w="1753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TopNavbar con Perfil y Telemetría de Red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Construir barra superior con datos de perfil de usuario mock/activo, botón de logout accesible y badge reactivo de conectividad (navigator.onLine verde/ámbar).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src/workspace/components/TopNavbar.tsx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Test RTL verifica renderizado de avatar/nombre, disparo de evento logout y cambio dinámico de badge al emitir eventos online/offline.</w:t>
            </w:r>
          </w:p>
        </w:tc>
      </w:tr>
      <w:tr>
        <w:trPr/>
        <w:tc>
          <w:tcPr>
            <w:tcW w:w="10511" w:type="dxa"/>
            <w:gridSpan w:val="6"/>
            <w:tcBorders/>
            <w:shd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93C5FD"/>
                <w:sz w:val="19"/>
              </w:rPr>
              <w:t xml:space="preserve">■  </w:t>
            </w:r>
            <w:r>
              <w:rPr>
                <w:b/>
                <w:color w:val="93C5FD"/>
                <w:sz w:val="19"/>
              </w:rPr>
              <w:t>RV-A02 · Autenticación, Sesión Segura y Control de Acceso (Auth &amp; Identity)</w:t>
            </w:r>
          </w:p>
        </w:tc>
      </w:tr>
      <w:tr>
        <w:trPr/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FIA-A02.01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RV-A02 · Auth &amp; Identity</w:t>
            </w:r>
          </w:p>
        </w:tc>
        <w:tc>
          <w:tcPr>
            <w:tcW w:w="1753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Entidad User, VO Email, Hashing y POST /users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Implementar entidad User con VO Email validado por regex RFC 5322, hashing bcrypt (coste 12), endpoint POST /users con DTO de registro y control de unicidad 409.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src/users/entities/user.entity.ts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100% de cobertura en tests unitarios de dominio: hashing verificado, rechazo de emails duplicados y persistencia en base de datos.</w:t>
            </w:r>
          </w:p>
        </w:tc>
      </w:tr>
      <w:tr>
        <w:trPr/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FIA-A02.02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RV-A02 · Auth &amp; Identity</w:t>
            </w:r>
          </w:p>
        </w:tc>
        <w:tc>
          <w:tcPr>
            <w:tcW w:w="1753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Componente de Registro en UI y Pestaña [Crear Cuenta] (VV-009)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Construir pestaña [Crear Cuenta] en tarjeta Auth con validación de coincidencia de contraseñas, feedback de carga y emisión de llamada POST /users (VV-009).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src/authentication/views/RegisterTab.tsx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Superación del caso VV-009: validación inline de contraseñas desiguales, creación exitosa, emisión de cookie y redirección a /workspace.</w:t>
            </w:r>
          </w:p>
        </w:tc>
      </w:tr>
      <w:tr>
        <w:trPr/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FIA-A02.03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RV-A02 · Auth &amp; Identity</w:t>
            </w:r>
          </w:p>
        </w:tc>
        <w:tc>
          <w:tcPr>
            <w:tcW w:w="1753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Controlador Auth, Cookie HttpOnly y Throttler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Implementar POST /auth/login con verificación de credenciales, ThrottlerGuard (5 intentos/15min) y emisión de cookie de sesión (HttpOnly, Secure, SameSite=Strict).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src/authentication/auth.controller.ts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200 OK emite cabecera Set-Cookie con flags de seguridad; 401 devuelve mensaje genérico 'Credenciales incorrectas'; 6º intento devuelve 429 Too Many Requests.</w:t>
            </w:r>
          </w:p>
        </w:tc>
      </w:tr>
      <w:tr>
        <w:trPr/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FIA-A02.04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RV-A02 · Auth &amp; Identity</w:t>
            </w:r>
          </w:p>
        </w:tc>
        <w:tc>
          <w:tcPr>
            <w:tcW w:w="1753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Formulario Login Empático y Transición (VV-001)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Construir vista /auth/login con validación en onBlur y onSubmit, spinner local en botón, deshabilitación de inputs y redirección a /workspace tras login exitoso.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src/authentication/views/LoginPage.tsx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Superación del caso VV-001: interacción sin errores en onChange inicial, feedback de spinner, cookie fijada y redirección a /workspace.</w:t>
            </w:r>
          </w:p>
        </w:tc>
      </w:tr>
      <w:tr>
        <w:trPr/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FIA-A02.05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RV-A02 · Auth &amp; Identity</w:t>
            </w:r>
          </w:p>
        </w:tc>
        <w:tc>
          <w:tcPr>
            <w:tcW w:w="1753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Invalidación de Sesión (Logout) y AuthGuard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Implementar POST /auth/logout (expiración cookie Max-Age=0) y SessionAuthGuard en NestJS que bloquea endpoints privados sin cookie válida con HTTP 401.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src/authentication/guards/session-auth.guard.ts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Logout purga la cookie en el navegador; intento de acceso directo a /workspace es rechazado y redirigido a /auth/login.</w:t>
            </w:r>
          </w:p>
        </w:tc>
      </w:tr>
      <w:tr>
        <w:trPr/>
        <w:tc>
          <w:tcPr>
            <w:tcW w:w="10511" w:type="dxa"/>
            <w:gridSpan w:val="6"/>
            <w:tcBorders/>
            <w:shd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93C5FD"/>
                <w:sz w:val="19"/>
              </w:rPr>
              <w:t xml:space="preserve">■  </w:t>
            </w:r>
            <w:r>
              <w:rPr>
                <w:b/>
                <w:color w:val="93C5FD"/>
                <w:sz w:val="19"/>
              </w:rPr>
              <w:t>RV-A03 · Gestión de Tareas Generales (Tasks Vertical Slice)</w:t>
            </w:r>
          </w:p>
        </w:tc>
      </w:tr>
      <w:tr>
        <w:trPr/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FIA-A03.01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RV-A03 · Tasks</w:t>
            </w:r>
          </w:p>
        </w:tc>
        <w:tc>
          <w:tcPr>
            <w:tcW w:w="1753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Entidad DomesticItem (Task) y Endpoints CRUD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Implementar modelo de dominio de Tareas con userId inmutable, límites tipográficos (título 120 chars, descripción 1000 chars - Decisión 2B) y endpoints CRUD.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src/tasks/tasks.service.ts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100% de cobertura en tests unitarios: validación de longitud, aislamiento multi-tenant por userId y operaciones de base de datos exitosas.</w:t>
            </w:r>
          </w:p>
        </w:tc>
      </w:tr>
      <w:tr>
        <w:trPr/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FIA-A03.02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RV-A03 · Tasks</w:t>
            </w:r>
          </w:p>
        </w:tc>
        <w:tc>
          <w:tcPr>
            <w:tcW w:w="1753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Acordeón de Tareas en Hub con Estados EV-01..05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Construir componente acordeón en Hub con cabecera de conteo reactiva 'Tareas (N)', Skeleton de carga, Empty State con CTA ilustrado y lista de tarjetas.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src/hub/components/TasksAccordion.tsx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Tests RTL verifican transición entre skeleton, estado vacío y lista de tarjetas según la respuesta de la API.</w:t>
            </w:r>
          </w:p>
        </w:tc>
      </w:tr>
      <w:tr>
        <w:trPr/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FIA-A03.03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RV-A03 · Tasks</w:t>
            </w:r>
          </w:p>
        </w:tc>
        <w:tc>
          <w:tcPr>
            <w:tcW w:w="1753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Modal Wizard de Creación en 3 Pasos (VV-004)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Implementar Wizard modal en 3 pasos (Paso 1: Título 120 chars, Paso 2: Descripción 1000 chars, Paso 3: Prioridad). Cancelar/ESC purga buffer en memoria (Decisión 3A).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src/tasks/components/TaskCreationWizard.tsx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Superación del caso VV-004: redacción parcial cancelada reabre el modal 100% vacío; creación exitosa añade la tarjeta al Hub.</w:t>
            </w:r>
          </w:p>
        </w:tc>
      </w:tr>
      <w:tr>
        <w:trPr/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FIA-A03.04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RV-A03 · Tasks</w:t>
            </w:r>
          </w:p>
        </w:tc>
        <w:tc>
          <w:tcPr>
            <w:tcW w:w="1753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Mutación Optimista Checkbox y Rollback (VV-005)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Implementar toggle optimista de tarea en UI (tachado de texto line-through en &lt;50ms) con llamada PATCH y reversión inmediata con Toast en fallo 500.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src/tasks/components/TaskCard.tsx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Superación del caso VV-005: simulación de error 500 desmarca el checkbox, restaura el texto normal y despliega Toast empático.</w:t>
            </w:r>
          </w:p>
        </w:tc>
      </w:tr>
      <w:tr>
        <w:trPr/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FIA-A03.05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RV-A03 · Tasks</w:t>
            </w:r>
          </w:p>
        </w:tc>
        <w:tc>
          <w:tcPr>
            <w:tcW w:w="1753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Menú Contextual de Tarjeta y Diálogo Preventivo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Menú desplegable accesible en cada tarjeta para edición rápida o eliminación con diálogo modal confirmatorio antes de emitir DELETE /tasks/:id.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src/tasks/components/TaskActionMenu.tsx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Confirmación elimina la tarjeta con fade-out; cancelación cierra el modal sin mutaciones ni llamadas de red.</w:t>
            </w:r>
          </w:p>
        </w:tc>
      </w:tr>
      <w:tr>
        <w:trPr/>
        <w:tc>
          <w:tcPr>
            <w:tcW w:w="10511" w:type="dxa"/>
            <w:gridSpan w:val="6"/>
            <w:tcBorders/>
            <w:shd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93C5FD"/>
                <w:sz w:val="19"/>
              </w:rPr>
              <w:t xml:space="preserve">■  </w:t>
            </w:r>
            <w:r>
              <w:rPr>
                <w:b/>
                <w:color w:val="93C5FD"/>
                <w:sz w:val="19"/>
              </w:rPr>
              <w:t>RV-A04 · Gestión de Lista de la Compra Semanal (Shopping Vertical Slice)</w:t>
            </w:r>
          </w:p>
        </w:tc>
      </w:tr>
      <w:tr>
        <w:trPr/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FIA-A04.01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RV-A04 · Shopping</w:t>
            </w:r>
          </w:p>
        </w:tc>
        <w:tc>
          <w:tcPr>
            <w:tcW w:w="1753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Módulo Backend Shopping y Asignación Grupal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Implementar modelo ShoppingItem (cantidad, unidad, comprado), endpoints CRUD y endpoint transaccional POST /shopping/schedule-all para compra en bloque.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src/shopping/shopping.service.ts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Tests unitarios de servicio validando persistencia, alternancia de estado comprado y actualización atómica en bloque.</w:t>
            </w:r>
          </w:p>
        </w:tc>
      </w:tr>
      <w:tr>
        <w:trPr/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FIA-A04.02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RV-A04 · Shopping</w:t>
            </w:r>
          </w:p>
        </w:tc>
        <w:tc>
          <w:tcPr>
            <w:tcW w:w="1753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Acordeón Compra con Telemetría e Input Rápido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Construir acordeón en Hub con cabecera de conteo '(Comprados/Total)', badge destacado de pendientes e input inline en el pie para adición ágil con tecla Enter.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src/hub/components/ShoppingAccordion.tsx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Escribir nombre y presionar Enter crea el ítem en &lt;100ms y conserva el foco en el input para adición continua sin fricción.</w:t>
            </w:r>
          </w:p>
        </w:tc>
      </w:tr>
      <w:tr>
        <w:trPr/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FIA-A04.03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RV-A04 · Shopping</w:t>
            </w:r>
          </w:p>
        </w:tc>
        <w:tc>
          <w:tcPr>
            <w:tcW w:w="1753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Modo Compra Activa y Sección Comprados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Implementar lista interactiva de compra: marcar ítem como comprado lo desplaza automáticamente a una subsección colapsable 'Comprados' al pie de la lista.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src/shopping/components/ShoppingItemList.tsx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Marcado de ítems actualiza contadores reactivos y separa visualmente los pendientes de los adquiridos en tienda.</w:t>
            </w:r>
          </w:p>
        </w:tc>
      </w:tr>
      <w:tr>
        <w:trPr/>
        <w:tc>
          <w:tcPr>
            <w:tcW w:w="10511" w:type="dxa"/>
            <w:gridSpan w:val="6"/>
            <w:tcBorders/>
            <w:shd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93C5FD"/>
                <w:sz w:val="19"/>
              </w:rPr>
              <w:t xml:space="preserve">■  </w:t>
            </w:r>
            <w:r>
              <w:rPr>
                <w:b/>
                <w:color w:val="93C5FD"/>
                <w:sz w:val="19"/>
              </w:rPr>
              <w:t>RV-A05 · Gestión de Tareas de Limpieza Doméstica (Cleaning Vertical Slice)</w:t>
            </w:r>
          </w:p>
        </w:tc>
      </w:tr>
      <w:tr>
        <w:trPr/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FIA-A05.01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RV-A05 · Cleaning</w:t>
            </w:r>
          </w:p>
        </w:tc>
        <w:tc>
          <w:tcPr>
            <w:tcW w:w="1753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Módulo Backend Cleaning y Cálculo de Recurrencia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Implementar modelo CleaningItem con atributos de Zona (Cocina, Baño, Salón) y Frecuencia (semanal, quincenal, mensual), calculando próxima fecha sugerida.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src/cleaning/cleaning.service.ts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Tests unitarios verifican cálculo matemático exacto de próxima fecha de limpieza sugerida tras registrar completado.</w:t>
            </w:r>
          </w:p>
        </w:tc>
      </w:tr>
      <w:tr>
        <w:trPr/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FIA-A05.02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RV-A05 · Cleaning</w:t>
            </w:r>
          </w:p>
        </w:tc>
        <w:tc>
          <w:tcPr>
            <w:tcW w:w="1753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Acordeón de Limpieza y Modal de Alta Periódica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Construir acordeón en Hub segmentado por zonas con chips semánticos y modal de alta con selector de zona y frecuencia de repetición.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src/hub/components/CleaningAccordion.tsx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Renderizado de tarjetas con distintivo temático de zona; envío del modal persiste correctamente la periodicidad.</w:t>
            </w:r>
          </w:p>
        </w:tc>
      </w:tr>
      <w:tr>
        <w:trPr/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FIA-A05.03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RV-A05 · Cleaning</w:t>
            </w:r>
          </w:p>
        </w:tc>
        <w:tc>
          <w:tcPr>
            <w:tcW w:w="1753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Conmutación de Limpieza y Timestamp de Ejecución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Al completar una tarea de limpieza, registrar lastCompletedAt, actualizar etiqueta informativa ('Completada: Hoy · Próxima: en N días') y mantener en rotación.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src/cleaning/components/CleaningTaskCard.tsx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Clic en completar actualiza el timestamp en servidor y recalcula la fecha en la tarjeta sin expulsar el ítem de la lista.</w:t>
            </w:r>
          </w:p>
        </w:tc>
      </w:tr>
      <w:tr>
        <w:trPr/>
        <w:tc>
          <w:tcPr>
            <w:tcW w:w="10511" w:type="dxa"/>
            <w:gridSpan w:val="6"/>
            <w:tcBorders/>
            <w:shd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93C5FD"/>
                <w:sz w:val="19"/>
              </w:rPr>
              <w:t xml:space="preserve">■  </w:t>
            </w:r>
            <w:r>
              <w:rPr>
                <w:b/>
                <w:color w:val="93C5FD"/>
                <w:sz w:val="19"/>
              </w:rPr>
              <w:t>RV-A06 · Motor de Filtros Reactivos y Reordenación (Filters &amp; Sort)</w:t>
            </w:r>
          </w:p>
        </w:tc>
      </w:tr>
      <w:tr>
        <w:trPr/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FIA-A06.01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RV-A06 · Filters &amp; Sort</w:t>
            </w:r>
          </w:p>
        </w:tc>
        <w:tc>
          <w:tcPr>
            <w:tcW w:w="1753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Modal de Filtros Combinados y Evaluación Lógica AND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Construir componente modal de filtros desplegable mediante botón [Filtrar] del Hub con selectores de Prioridad, Fecha/Rango y Estado bajo lógica AND acumulativa.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src/filters/components/FilterModal.tsx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Tests RTL verifican apertura de panel, selección de criterios, descarte con botón Cancelar y filtrado preciso sin fugas de estado.</w:t>
            </w:r>
          </w:p>
        </w:tc>
      </w:tr>
      <w:tr>
        <w:trPr/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FIA-A06.02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RV-A06 · Filters &amp; Sort</w:t>
            </w:r>
          </w:p>
        </w:tc>
        <w:tc>
          <w:tcPr>
            <w:tcW w:w="1753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Hook useItemFilters, Reactividad en Caliente y Botón [Limpiar Filtros]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Implementar hook reactivo en memoria que filtra listas de tareas, compra y limpieza ante cambios de estado de ítems, y botón [Limpiar Filtros] para restablecer valores por defecto.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src/filters/hooks/useItemFilters.ts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Tests unitarios del hook verifican reevaluación inmediata al mutar un ítem y restauración completa al invocar reset.</w:t>
            </w:r>
          </w:p>
        </w:tc>
      </w:tr>
      <w:tr>
        <w:trPr/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FIA-A06.03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RV-A06 · Filters &amp; Sort</w:t>
            </w:r>
          </w:p>
        </w:tc>
        <w:tc>
          <w:tcPr>
            <w:tcW w:w="1753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Panel de Reordenación y Motor de Ordenación Multinivel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Construir componente activado por el botón [Reordenar] y motor puro sortEngine (por Fecha, Prioridad o Alfabético) con desempate determinista por createdAt ASC.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src/filters/components/SortMenu.tsx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100% de cobertura en tests unitarios con arrays de elementos desordenados y emparejados garantizando orden estricto.</w:t>
            </w:r>
          </w:p>
        </w:tc>
      </w:tr>
      <w:tr>
        <w:trPr/>
        <w:tc>
          <w:tcPr>
            <w:tcW w:w="10511" w:type="dxa"/>
            <w:gridSpan w:val="6"/>
            <w:tcBorders/>
            <w:shd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93C5FD"/>
                <w:sz w:val="19"/>
              </w:rPr>
              <w:t xml:space="preserve">■  </w:t>
            </w:r>
            <w:r>
              <w:rPr>
                <w:b/>
                <w:color w:val="93C5FD"/>
                <w:sz w:val="19"/>
              </w:rPr>
              <w:t>RV-A07 · Calendario Mensual Interactivo y Drag &amp; Drop (Cross-Interaction)</w:t>
            </w:r>
          </w:p>
        </w:tc>
      </w:tr>
      <w:tr>
        <w:trPr/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FIA-A07.01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RV-A07 · Calendar &amp; DnD</w:t>
            </w:r>
          </w:p>
        </w:tc>
        <w:tc>
          <w:tcPr>
            <w:tcW w:w="1753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Rejilla Mensual Dinámica y Navegación de Meses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Construir cuadrícula mensual de 7 columnas (Lunes-Domingo), cálculo dinámico de casillas (35/42 días), días adyacentes atenuados y badge hoy cobalto.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src/workspace/components/MonthlyCalendarGrid.tsx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Navegación calcula correctamente matriz del mes; renderizado de casillas con identificadores de fecha válidos.</w:t>
            </w:r>
          </w:p>
        </w:tc>
      </w:tr>
      <w:tr>
        <w:trPr/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FIA-A07.02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RV-A07 · Calendar &amp; DnD</w:t>
            </w:r>
          </w:p>
        </w:tc>
        <w:tc>
          <w:tcPr>
            <w:tcW w:w="1753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Infraestructura Drag &amp; Drop y Asignación de Ítem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Integrar contexto dnd-kit entre Hub y Calendario. Soltar tarjeta en día válido emite PATCH /items/:id/schedule y materializa píldora en casilla.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src/calendar-sync/components/CalendarDropZone.tsx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Drop sobre día válido traslada el ítem desde el Hub a la casilla del calendario con actualización de estado en servidor.</w:t>
            </w:r>
          </w:p>
        </w:tc>
      </w:tr>
      <w:tr>
        <w:trPr/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FIA-A07.03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RV-A07 · Calendar &amp; DnD</w:t>
            </w:r>
          </w:p>
        </w:tc>
        <w:tc>
          <w:tcPr>
            <w:tcW w:w="1753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Bloqueo Fechas Pasadas y Retorno Elástico (VV-002)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Intercepción de cursor sobre casillas pasadas (cursor not-allowed, tinte carmesí). Soltar anula el drop y activa animación elástica de retorno (Decisión 1A).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src/calendar-sync/components/CalendarCell.tsx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Superación del caso VV-002: cero llamadas de red emitidas; la tarjeta retorna intacta a su contenedor original en el Hub.</w:t>
            </w:r>
          </w:p>
        </w:tc>
      </w:tr>
      <w:tr>
        <w:trPr/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FIA-A07.04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RV-A07 · Calendar &amp; DnD</w:t>
            </w:r>
          </w:p>
        </w:tc>
        <w:tc>
          <w:tcPr>
            <w:tcW w:w="1753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Modal Conflicto en Reasignación de Fecha (VV-003)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Detectar arrastre de ítem previamente fechado hacia nuevo día. Desplegar obligatoriamente modal de conflicto con fecha origen vs destino (Decisión 4B).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src/calendar-sync/components/ReassignmentConfirmModal.tsx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Superación del caso VV-003: pulsar Mantener o presionar ESC aborta el cambio; confirmar ejecuta la reasignación en servidor.</w:t>
            </w:r>
          </w:p>
        </w:tc>
      </w:tr>
      <w:tr>
        <w:trPr/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FIA-A07.05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RV-A07 · Calendar &amp; DnD</w:t>
            </w:r>
          </w:p>
        </w:tc>
        <w:tc>
          <w:tcPr>
            <w:tcW w:w="1753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Arrastre Masivo de Compra al Calendario (VV-006)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Habilitar drag handle en cabecera de Compra Semanal. Soltar en casilla invoca POST /shopping/schedule-all asignando todos los pendientes en bloque.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src/hub/components/ShoppingAccordion.tsx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Superación del caso VV-006: soltar la compra programa todos los productos pendientes en el día seleccionado en una píldora consolidada.</w:t>
            </w:r>
          </w:p>
        </w:tc>
      </w:tr>
      <w:tr>
        <w:trPr/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FIA-A07.06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RV-A07 · Calendar &amp; DnD</w:t>
            </w:r>
          </w:p>
        </w:tc>
        <w:tc>
          <w:tcPr>
            <w:tcW w:w="1753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Desasignación por Clic Derecho y Retorno al Hub (VV-007)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Menú contextual accesible en cada píldora del calendario con opción 'Mover a Sin Asignar' (PATCH /items/:id/unschedule).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src/calendar-sync/components/CalendarItemContextMenu.tsx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Superación del caso VV-007: clic en la opción retira la píldora del calendario y la devuelve al Hub como ítem no fechado.</w:t>
            </w:r>
          </w:p>
        </w:tc>
      </w:tr>
      <w:tr>
        <w:trPr/>
        <w:tc>
          <w:tcPr>
            <w:tcW w:w="10511" w:type="dxa"/>
            <w:gridSpan w:val="6"/>
            <w:tcBorders/>
            <w:shd w:fill="1E293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93C5FD"/>
                <w:sz w:val="19"/>
              </w:rPr>
              <w:t xml:space="preserve">■  </w:t>
            </w:r>
            <w:r>
              <w:rPr>
                <w:b/>
                <w:color w:val="93C5FD"/>
                <w:sz w:val="19"/>
              </w:rPr>
              <w:t>RV-A08 · Resiliencia Offline, Manejo de Errores y Cierre Forense (Resilience &amp; QA)</w:t>
            </w:r>
          </w:p>
        </w:tc>
      </w:tr>
      <w:tr>
        <w:trPr/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FIA-A08.01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RV-A08 · Resilience &amp; QA</w:t>
            </w:r>
          </w:p>
        </w:tc>
        <w:tc>
          <w:tcPr>
            <w:tcW w:w="1753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Detección Offline y Banner Preventivo (VV-008)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Implementar detector global de red (navigator.onLine). Desconexión despliega banner superior en &lt;100ms y congela mutaciones destructivas.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src/workspace/components/OfflineBanner.tsx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Superación del caso VV-008: caída de red activa modo solo lectura y deshabilita botones de creación/eliminación; reconexión restaura operatividad.</w:t>
            </w:r>
          </w:p>
        </w:tc>
      </w:tr>
      <w:tr>
        <w:trPr/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FIA-A08.02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RV-A08 · Resilience &amp; QA</w:t>
            </w:r>
          </w:p>
        </w:tc>
        <w:tc>
          <w:tcPr>
            <w:tcW w:w="1753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Interceptor Errores Empáticos y Rollback Toast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Capa HTTP cliente con interceptor de errores que traduce códigos en mensajes empáticos de 3 componentes y ejecuta rollback de UI optimista.</w:t>
            </w:r>
          </w:p>
        </w:tc>
        <w:tc>
          <w:tcPr>
            <w:tcW w:w="1751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src/infrastructure/http/apiClient.ts</w:t>
            </w:r>
          </w:p>
        </w:tc>
        <w:tc>
          <w:tcPr>
            <w:tcW w:w="1752" w:type="dxa"/>
            <w:tcBorders/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Test de integración verifica reversión inmediata de UI y notificación descriptiva ante rechazos 500 de API.</w:t>
            </w:r>
          </w:p>
        </w:tc>
      </w:tr>
      <w:tr>
        <w:trPr/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2563EB"/>
                <w:sz w:val="16"/>
              </w:rPr>
              <w:t>FIA-A08.03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RV-A08 · Resilience &amp; QA</w:t>
            </w:r>
          </w:p>
        </w:tc>
        <w:tc>
          <w:tcPr>
            <w:tcW w:w="1753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b/>
                <w:color w:val="0F172A"/>
                <w:sz w:val="16"/>
              </w:rPr>
              <w:t>Harness Automatizado Playwright y Cierre CI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Compilación y ejecución de suite Playwright E2E con captura de trazas (.har, .png, .webm) ante aserciones fallidas y compuerta pre-push.</w:t>
            </w:r>
          </w:p>
        </w:tc>
        <w:tc>
          <w:tcPr>
            <w:tcW w:w="1751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rFonts w:ascii="Consolas" w:hAnsi="Consolas"/>
                <w:color w:val="334155"/>
                <w:sz w:val="15"/>
              </w:rPr>
              <w:t>playwright.config.ts</w:t>
            </w:r>
          </w:p>
        </w:tc>
        <w:tc>
          <w:tcPr>
            <w:tcW w:w="1752" w:type="dxa"/>
            <w:tcBorders/>
            <w:shd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Normal"/>
              <w:spacing w:before="0" w:after="200"/>
              <w:jc w:val="left"/>
              <w:rPr/>
            </w:pPr>
            <w:r>
              <w:rPr>
                <w:color w:val="0F172A"/>
                <w:sz w:val="16"/>
              </w:rPr>
              <w:t>Ejecución completa de la suite con 100% de tests en verde, verificación de cobertura honesta 100/80/0 y emisión de reporte de cierre.</w:t>
            </w:r>
          </w:p>
        </w:tc>
      </w:tr>
    </w:tbl>
    <w:p>
      <w:pPr>
        <w:pStyle w:val="Heading1"/>
        <w:spacing w:before="400" w:after="120"/>
        <w:rPr/>
      </w:pPr>
      <w:r>
        <w:rPr>
          <w:b/>
          <w:color w:val="0F172A"/>
          <w:sz w:val="28"/>
        </w:rPr>
        <w:t>3. Directrices Operativas para la Apertura de la Fábrica de Software</w:t>
      </w:r>
    </w:p>
    <w:p>
      <w:pPr>
        <w:pStyle w:val="Normal"/>
        <w:spacing w:before="0" w:after="120"/>
        <w:rPr/>
      </w:pPr>
      <w:r>
        <w:rPr/>
        <w:t>Con la aprobación del presente Documento 12, finaliza formally la actuación del Agente Documentador (El Arquitecto). A partir de este instante, el proyecto Centra-T entra en fase de construcción industrial gobernada por los siguientes agentes: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/>
          <w:color w:val="0F172A"/>
        </w:rPr>
        <w:t xml:space="preserve">Agente Generador de FIAs (El Planificador Táctico): </w:t>
      </w:r>
      <w:r>
        <w:rPr/>
        <w:t>Toma como entrada el presente Índice RV → FIA y genera, de una en una, las Fichas de Implementación Atómica detalladas, especificando el contexto exacto de código, contratos de interfaz, casos de test requeridos y criterios de aceptación binarios.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/>
          <w:color w:val="0F172A"/>
        </w:rPr>
        <w:t xml:space="preserve">Agente Generador de SPECs / Implementador (El Constructor): </w:t>
      </w:r>
      <w:r>
        <w:rPr/>
        <w:t>Recibe cada FIA individual, escribe primero los tests unitarios/integración en fallo (Fase RED), implementa el código mínimo para hacerlos pasar (Fase GREEN) y aplica refactorización limpia sin romper contratos.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b/>
          <w:color w:val="0F172A"/>
        </w:rPr>
        <w:t xml:space="preserve">Compuerta NO LOCK → NO NEXT: </w:t>
      </w:r>
      <w:r>
        <w:rPr/>
        <w:t>Ningún agente puede iniciar la FIA n+1 hasta que la FIA n cuente con informe de verificación en verde, ausencia total de drift y aprobación explícita de Manuel.</w:t>
      </w:r>
    </w:p>
    <w:sectPr>
      <w:type w:val="nextPage"/>
      <w:pgSz w:w="12240" w:h="15840"/>
      <w:pgMar w:left="864" w:right="864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Segoe UI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Segoe UI" w:hAnsi="Segoe UI" w:eastAsia="ＭＳ 明朝" w:cs=""/>
      <w:color w:val="1F2937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4</Pages>
  <Words>2185</Words>
  <Characters>13611</Characters>
  <CharactersWithSpaces>15584</CharactersWithSpaces>
  <Paragraphs>214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