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Arial" w:hAnsi="Arial"/>
          <w:b/>
          <w:color w:val="1B365D"/>
          <w:sz w:val="44"/>
        </w:rPr>
        <w:t>CENTRA-T · DOCUMENTO MAESTRO</w:t>
      </w:r>
    </w:p>
    <w:p>
      <w:pPr>
        <w:pStyle w:val="Normal"/>
        <w:spacing w:before="0" w:after="280"/>
        <w:rPr/>
      </w:pPr>
      <w:r>
        <w:rPr>
          <w:rFonts w:ascii="Arial" w:hAnsi="Arial"/>
          <w:i/>
          <w:color w:val="64748B"/>
          <w:sz w:val="22"/>
        </w:rPr>
        <w:t>Documento Canónico 01 de 10 · Arquitectura y Línea Base de Producto · Método zug</w:t>
      </w:r>
    </w:p>
    <w:p>
      <w:pPr>
        <w:pStyle w:val="Normal"/>
        <w:keepNext w:val="true"/>
        <w:spacing w:before="280" w:after="120"/>
        <w:rPr/>
      </w:pPr>
      <w:r>
        <w:rPr>
          <w:rFonts w:ascii="Arial" w:hAnsi="Arial"/>
          <w:b/>
          <w:color w:val="1B365D"/>
          <w:sz w:val="26"/>
        </w:rPr>
        <w:t>1. Identificación y Ficha Técnica</w:t>
      </w:r>
    </w:p>
    <w:p>
      <w:pPr>
        <w:pStyle w:val="ListBullet"/>
        <w:numPr>
          <w:ilvl w:val="0"/>
          <w:numId w:val="1"/>
        </w:numPr>
        <w:spacing w:lineRule="auto" w:line="276" w:before="0" w:after="60"/>
        <w:contextualSpacing/>
        <w:rPr/>
      </w:pPr>
      <w:r>
        <w:rPr>
          <w:rFonts w:ascii="Arial" w:hAnsi="Arial"/>
          <w:b/>
          <w:color w:val="1E293B"/>
          <w:sz w:val="20"/>
        </w:rPr>
        <w:t xml:space="preserve">Producto: </w:t>
      </w:r>
      <w:r>
        <w:rPr>
          <w:rFonts w:ascii="Arial" w:hAnsi="Arial"/>
          <w:color w:val="1E293B"/>
          <w:sz w:val="20"/>
        </w:rPr>
        <w:t>Centra-T (Gestor Doméstico Integral y Planificador Temporal)</w:t>
      </w:r>
    </w:p>
    <w:p>
      <w:pPr>
        <w:pStyle w:val="ListBullet"/>
        <w:numPr>
          <w:ilvl w:val="0"/>
          <w:numId w:val="1"/>
        </w:numPr>
        <w:spacing w:lineRule="auto" w:line="276" w:before="0" w:after="60"/>
        <w:contextualSpacing/>
        <w:rPr/>
      </w:pPr>
      <w:r>
        <w:rPr>
          <w:rFonts w:ascii="Arial" w:hAnsi="Arial"/>
          <w:b/>
          <w:color w:val="1E293B"/>
          <w:sz w:val="20"/>
        </w:rPr>
        <w:t xml:space="preserve">Versión: </w:t>
      </w:r>
      <w:r>
        <w:rPr>
          <w:rFonts w:ascii="Arial" w:hAnsi="Arial"/>
          <w:color w:val="1E293B"/>
          <w:sz w:val="20"/>
        </w:rPr>
        <w:t>v1.0.0 (MVP)</w:t>
      </w:r>
    </w:p>
    <w:p>
      <w:pPr>
        <w:pStyle w:val="ListBullet"/>
        <w:numPr>
          <w:ilvl w:val="0"/>
          <w:numId w:val="1"/>
        </w:numPr>
        <w:spacing w:lineRule="auto" w:line="276" w:before="0" w:after="60"/>
        <w:contextualSpacing/>
        <w:rPr/>
      </w:pPr>
      <w:r>
        <w:rPr>
          <w:rFonts w:ascii="Arial" w:hAnsi="Arial"/>
          <w:b/>
          <w:color w:val="1E293B"/>
          <w:sz w:val="20"/>
        </w:rPr>
        <w:t xml:space="preserve">Estado: </w:t>
      </w:r>
      <w:r>
        <w:rPr>
          <w:rFonts w:ascii="Arial" w:hAnsi="Arial"/>
          <w:color w:val="1E293B"/>
          <w:sz w:val="20"/>
        </w:rPr>
        <w:t>Línea Base Aprobada para Construcción</w:t>
      </w:r>
    </w:p>
    <w:p>
      <w:pPr>
        <w:pStyle w:val="ListBullet"/>
        <w:numPr>
          <w:ilvl w:val="0"/>
          <w:numId w:val="1"/>
        </w:numPr>
        <w:spacing w:lineRule="auto" w:line="276" w:before="0" w:after="60"/>
        <w:contextualSpacing/>
        <w:rPr/>
      </w:pPr>
      <w:r>
        <w:rPr>
          <w:rFonts w:ascii="Arial" w:hAnsi="Arial"/>
          <w:b/>
          <w:color w:val="1E293B"/>
          <w:sz w:val="20"/>
        </w:rPr>
        <w:t xml:space="preserve">Tipo de Sistema: </w:t>
      </w:r>
      <w:r>
        <w:rPr>
          <w:rFonts w:ascii="Arial" w:hAnsi="Arial"/>
          <w:color w:val="1E293B"/>
          <w:sz w:val="20"/>
        </w:rPr>
        <w:t>Aplicación Web desacoplada (Frontend Next.js + Backend API REST NestJS)</w:t>
      </w:r>
    </w:p>
    <w:p>
      <w:pPr>
        <w:pStyle w:val="ListBullet"/>
        <w:numPr>
          <w:ilvl w:val="0"/>
          <w:numId w:val="1"/>
        </w:numPr>
        <w:spacing w:lineRule="auto" w:line="276" w:before="0" w:after="60"/>
        <w:contextualSpacing/>
        <w:rPr/>
      </w:pPr>
      <w:r>
        <w:rPr>
          <w:rFonts w:ascii="Arial" w:hAnsi="Arial"/>
          <w:b/>
          <w:color w:val="1E293B"/>
          <w:sz w:val="20"/>
        </w:rPr>
        <w:t xml:space="preserve">Modelo de Despliegue: </w:t>
      </w:r>
      <w:r>
        <w:rPr>
          <w:rFonts w:ascii="Arial" w:hAnsi="Arial"/>
          <w:color w:val="1E293B"/>
          <w:sz w:val="20"/>
        </w:rPr>
        <w:t>Monolito Modular distribuido con persistencia relacional PostgreSQL aislada por usuario</w:t>
      </w:r>
    </w:p>
    <w:p>
      <w:pPr>
        <w:pStyle w:val="Normal"/>
        <w:keepNext w:val="true"/>
        <w:spacing w:before="280" w:after="120"/>
        <w:rPr/>
      </w:pPr>
      <w:r>
        <w:rPr>
          <w:rFonts w:ascii="Arial" w:hAnsi="Arial"/>
          <w:b/>
          <w:color w:val="1B365D"/>
          <w:sz w:val="26"/>
        </w:rPr>
        <w:t>2. Qué es el Producto (Identidad y Propuesta de Valor)</w:t>
      </w:r>
    </w:p>
    <w:p>
      <w:pPr>
        <w:pStyle w:val="Normal"/>
        <w:spacing w:lineRule="auto" w:line="276" w:before="0" w:after="80"/>
        <w:rPr/>
      </w:pPr>
      <w:r>
        <w:rPr>
          <w:rFonts w:ascii="Arial" w:hAnsi="Arial"/>
          <w:b/>
          <w:color w:val="1E293B"/>
          <w:sz w:val="20"/>
        </w:rPr>
        <w:t xml:space="preserve">Definición Troncal: </w:t>
      </w:r>
      <w:r>
        <w:rPr>
          <w:rFonts w:ascii="Arial" w:hAnsi="Arial"/>
          <w:i w:val="false"/>
          <w:color w:val="1E293B"/>
          <w:sz w:val="20"/>
        </w:rPr>
        <w:t>Centra-T es un sistema de gestión doméstica y organización personal estructurado sobre un Workspace desacoplado que vincula de forma reactiva un panel lateral de control (Hub) con un lienzo de planificación temporal interactivo (Calendario). El producto unifica bajo un único motor de datos y reglas de dominio las áreas de Tareas Generales, Compra Semanal y Limpieza, proporcionando sincronización bidireccional mediante Drag &amp; Drop, gestión determinista de estados y aislamiento estanco de datos por usuario.</w:t>
      </w:r>
    </w:p>
    <w:p>
      <w:pPr>
        <w:pStyle w:val="Normal"/>
        <w:spacing w:lineRule="auto" w:line="276" w:before="0" w:after="80"/>
        <w:rPr/>
      </w:pPr>
      <w:r>
        <w:rPr>
          <w:rFonts w:ascii="Arial" w:hAnsi="Arial"/>
          <w:b/>
          <w:color w:val="1E293B"/>
          <w:sz w:val="20"/>
        </w:rPr>
        <w:t xml:space="preserve">Problema que Resuelve: </w:t>
      </w:r>
      <w:r>
        <w:rPr>
          <w:rFonts w:ascii="Arial" w:hAnsi="Arial"/>
          <w:i w:val="false"/>
          <w:color w:val="1E293B"/>
          <w:sz w:val="20"/>
        </w:rPr>
        <w:t>Resuelve la desconexión existente entre las listas estáticas de tareas y las herramientas tradicionales de calendario, eliminando la sobrecarga cognitiva requerida para coordinar el hogar. Permite capturar responsabilidades en segundos, jerarquizarlas por prioridad y fecha, y reprogramarlas interactivamente mediante arrastre sobre el calendario con retroalimentación visual inmediata.</w:t>
      </w:r>
    </w:p>
    <w:p>
      <w:pPr>
        <w:pStyle w:val="Normal"/>
        <w:keepNext w:val="true"/>
        <w:spacing w:before="200" w:after="80"/>
        <w:rPr/>
      </w:pPr>
      <w:r>
        <w:rPr>
          <w:rFonts w:ascii="Arial" w:hAnsi="Arial"/>
          <w:b/>
          <w:color w:val="4A6182"/>
          <w:sz w:val="23"/>
        </w:rPr>
        <w:t>Stack Tecnológico Justificado</w:t>
      </w:r>
    </w:p>
    <w:tbl>
      <w:tblPr>
        <w:tblW w:w="9600"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1705"/>
        <w:gridCol w:w="2604"/>
        <w:gridCol w:w="5291"/>
      </w:tblGrid>
      <w:tr>
        <w:trPr/>
        <w:tc>
          <w:tcPr>
            <w:tcW w:w="1705" w:type="dxa"/>
            <w:tcBorders/>
            <w:shd w:fill="1B365D"/>
          </w:tcPr>
          <w:p>
            <w:pPr>
              <w:pStyle w:val="Normal"/>
              <w:widowControl/>
              <w:bidi w:val="0"/>
              <w:spacing w:lineRule="auto" w:line="276" w:before="0" w:after="200"/>
              <w:jc w:val="left"/>
              <w:rPr/>
            </w:pPr>
            <w:r>
              <w:rPr>
                <w:rFonts w:ascii="Arial" w:hAnsi="Arial"/>
                <w:b/>
                <w:color w:val="FFFFFF"/>
                <w:sz w:val="19"/>
              </w:rPr>
              <w:t>Capa / Subsistema</w:t>
            </w:r>
          </w:p>
        </w:tc>
        <w:tc>
          <w:tcPr>
            <w:tcW w:w="2604" w:type="dxa"/>
            <w:tcBorders/>
            <w:shd w:fill="1B365D"/>
          </w:tcPr>
          <w:p>
            <w:pPr>
              <w:pStyle w:val="Normal"/>
              <w:widowControl/>
              <w:bidi w:val="0"/>
              <w:spacing w:lineRule="auto" w:line="276" w:before="0" w:after="200"/>
              <w:jc w:val="left"/>
              <w:rPr/>
            </w:pPr>
            <w:r>
              <w:rPr>
                <w:rFonts w:ascii="Arial" w:hAnsi="Arial"/>
                <w:b/>
                <w:color w:val="FFFFFF"/>
                <w:sz w:val="19"/>
              </w:rPr>
              <w:t>Elección Tecnológica</w:t>
            </w:r>
          </w:p>
        </w:tc>
        <w:tc>
          <w:tcPr>
            <w:tcW w:w="5291" w:type="dxa"/>
            <w:tcBorders/>
            <w:shd w:fill="1B365D"/>
          </w:tcPr>
          <w:p>
            <w:pPr>
              <w:pStyle w:val="Normal"/>
              <w:widowControl/>
              <w:bidi w:val="0"/>
              <w:spacing w:lineRule="auto" w:line="276" w:before="0" w:after="200"/>
              <w:jc w:val="left"/>
              <w:rPr/>
            </w:pPr>
            <w:r>
              <w:rPr>
                <w:rFonts w:ascii="Arial" w:hAnsi="Arial"/>
                <w:b/>
                <w:color w:val="FFFFFF"/>
                <w:sz w:val="19"/>
              </w:rPr>
              <w:t>Justificación Técnica</w:t>
            </w:r>
          </w:p>
        </w:tc>
      </w:tr>
      <w:tr>
        <w:trPr/>
        <w:tc>
          <w:tcPr>
            <w:tcW w:w="17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Frontend Core</w:t>
            </w:r>
          </w:p>
        </w:tc>
        <w:tc>
          <w:tcPr>
            <w:tcW w:w="26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Next.js 14+ (App Router) / React 19 / TypeScript 5.x</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Renderizado híbrido (SSR para bootstrapping y CSR reactivo para drag &amp; drop). Tipado estricto de extremo a extremo e interfaz optimista.</w:t>
            </w:r>
          </w:p>
        </w:tc>
      </w:tr>
      <w:tr>
        <w:trPr/>
        <w:tc>
          <w:tcPr>
            <w:tcW w:w="170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Backend Core</w:t>
            </w:r>
          </w:p>
        </w:tc>
        <w:tc>
          <w:tcPr>
            <w:tcW w:w="2604"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NestJS 10.x / TypeScript 5.x</w:t>
            </w:r>
          </w:p>
        </w:tc>
        <w:tc>
          <w:tcPr>
            <w:tcW w:w="5291"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Arquitectura MVC Modular orientada a negocio. Inyección de dependencias desacoplada, validación estricta con class-validator y filtros de excepciones.</w:t>
            </w:r>
          </w:p>
        </w:tc>
      </w:tr>
      <w:tr>
        <w:trPr/>
        <w:tc>
          <w:tcPr>
            <w:tcW w:w="17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Persistencia / DB</w:t>
            </w:r>
          </w:p>
        </w:tc>
        <w:tc>
          <w:tcPr>
            <w:tcW w:w="26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PostgreSQL 16 + TypeORM</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Motor relacional ACID. Claves primarias UUID v4, índices compuestos B-Tree multitenant (userId + modulo + fechaEjecucion) y transacciones atómicas.</w:t>
            </w:r>
          </w:p>
        </w:tc>
      </w:tr>
      <w:tr>
        <w:trPr/>
        <w:tc>
          <w:tcPr>
            <w:tcW w:w="170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Transporte API</w:t>
            </w:r>
          </w:p>
        </w:tc>
        <w:tc>
          <w:tcPr>
            <w:tcW w:w="2604"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API REST JSON Tipada sobre HTTP/S</w:t>
            </w:r>
          </w:p>
        </w:tc>
        <w:tc>
          <w:tcPr>
            <w:tcW w:w="5291"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Contratos inmutables basados en DTOs compartidos. Comunicación determinista desacoplada de la vista.</w:t>
            </w:r>
          </w:p>
        </w:tc>
      </w:tr>
      <w:tr>
        <w:trPr/>
        <w:tc>
          <w:tcPr>
            <w:tcW w:w="170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Autenticación</w:t>
            </w:r>
          </w:p>
        </w:tc>
        <w:tc>
          <w:tcPr>
            <w:tcW w:w="2604"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Cookies de Sesión HttpOnly / SameSite=Strict</w:t>
            </w:r>
          </w:p>
        </w:tc>
        <w:tc>
          <w:tcPr>
            <w:tcW w:w="5291"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Mitigación total de vulnerabilidades XSS (prohibido localStorage). Hashing unidireccional bcrypt con factor de coste 12.</w:t>
            </w:r>
          </w:p>
        </w:tc>
      </w:tr>
    </w:tbl>
    <w:p>
      <w:pPr>
        <w:pStyle w:val="Normal"/>
        <w:spacing w:before="0" w:after="80"/>
        <w:rPr/>
      </w:pPr>
      <w:r>
        <w:rPr/>
      </w:r>
    </w:p>
    <w:p>
      <w:pPr>
        <w:pStyle w:val="Normal"/>
        <w:keepNext w:val="true"/>
        <w:spacing w:before="280" w:after="120"/>
        <w:rPr/>
      </w:pPr>
      <w:r>
        <w:rPr>
          <w:rFonts w:ascii="Arial" w:hAnsi="Arial"/>
          <w:b/>
          <w:color w:val="1B365D"/>
          <w:sz w:val="26"/>
        </w:rPr>
        <w:t>3. Filosofía Constructiva y Principios Irrenunciables</w:t>
      </w:r>
    </w:p>
    <w:p>
      <w:pPr>
        <w:pStyle w:val="ListBullet"/>
        <w:numPr>
          <w:ilvl w:val="0"/>
          <w:numId w:val="1"/>
        </w:numPr>
        <w:spacing w:lineRule="auto" w:line="276" w:before="0" w:after="60"/>
        <w:contextualSpacing/>
        <w:rPr/>
      </w:pPr>
      <w:r>
        <w:rPr>
          <w:rFonts w:ascii="Arial" w:hAnsi="Arial"/>
          <w:b/>
          <w:color w:val="1E293B"/>
          <w:sz w:val="20"/>
        </w:rPr>
        <w:t xml:space="preserve">1. Soberanía Humana y Spec-Driven Development (SDD): </w:t>
      </w:r>
      <w:r>
        <w:rPr>
          <w:rFonts w:ascii="Arial" w:hAnsi="Arial"/>
          <w:color w:val="1E293B"/>
          <w:sz w:val="20"/>
        </w:rPr>
        <w:t>El código fuente es una transcripción física de la documentación formal aprobada. Queda terminantemente prohibido implementar comportamientos, campos o contratos no previstos en los Documentos Maestros.</w:t>
      </w:r>
    </w:p>
    <w:p>
      <w:pPr>
        <w:pStyle w:val="ListBullet"/>
        <w:numPr>
          <w:ilvl w:val="0"/>
          <w:numId w:val="1"/>
        </w:numPr>
        <w:spacing w:lineRule="auto" w:line="276" w:before="0" w:after="60"/>
        <w:contextualSpacing/>
        <w:rPr/>
      </w:pPr>
      <w:r>
        <w:rPr>
          <w:rFonts w:ascii="Arial" w:hAnsi="Arial"/>
          <w:b/>
          <w:color w:val="1E293B"/>
          <w:sz w:val="20"/>
        </w:rPr>
        <w:t xml:space="preserve">2. MVC Modular y Screaming Architecture: </w:t>
      </w:r>
      <w:r>
        <w:rPr>
          <w:rFonts w:ascii="Arial" w:hAnsi="Arial"/>
          <w:color w:val="1E293B"/>
          <w:sz w:val="20"/>
        </w:rPr>
        <w:t>El backend se organiza obligatoriamente por módulos de negocio (authentication, users, tasks, shopping, cleaning). Queda vetada la creación de directorios cajón de sastre como utils/, shared/ o helpers/.</w:t>
      </w:r>
    </w:p>
    <w:p>
      <w:pPr>
        <w:pStyle w:val="ListBullet"/>
        <w:numPr>
          <w:ilvl w:val="0"/>
          <w:numId w:val="1"/>
        </w:numPr>
        <w:spacing w:lineRule="auto" w:line="276" w:before="0" w:after="60"/>
        <w:contextualSpacing/>
        <w:rPr/>
      </w:pPr>
      <w:r>
        <w:rPr>
          <w:rFonts w:ascii="Arial" w:hAnsi="Arial"/>
          <w:b/>
          <w:color w:val="1E293B"/>
          <w:sz w:val="20"/>
        </w:rPr>
        <w:t xml:space="preserve">3. Aislamiento Absoluto de Tenant: </w:t>
      </w:r>
      <w:r>
        <w:rPr>
          <w:rFonts w:ascii="Arial" w:hAnsi="Arial"/>
          <w:color w:val="1E293B"/>
          <w:sz w:val="20"/>
        </w:rPr>
        <w:t>Ninguna consulta a base de datos puede omitir la cláusula de restricción por userId. La identidad se resuelve exclusivamente a partir de la sesión autenticada en el token verificado, jamás del cuerpo de la petición.</w:t>
      </w:r>
    </w:p>
    <w:p>
      <w:pPr>
        <w:pStyle w:val="ListBullet"/>
        <w:numPr>
          <w:ilvl w:val="0"/>
          <w:numId w:val="1"/>
        </w:numPr>
        <w:spacing w:lineRule="auto" w:line="276" w:before="0" w:after="60"/>
        <w:contextualSpacing/>
        <w:rPr/>
      </w:pPr>
      <w:r>
        <w:rPr>
          <w:rFonts w:ascii="Arial" w:hAnsi="Arial"/>
          <w:b/>
          <w:color w:val="1E293B"/>
          <w:sz w:val="20"/>
        </w:rPr>
        <w:t xml:space="preserve">4. Matriz Canónica de 5 Estados de Interfaz: </w:t>
      </w:r>
      <w:r>
        <w:rPr>
          <w:rFonts w:ascii="Arial" w:hAnsi="Arial"/>
          <w:color w:val="1E293B"/>
          <w:sz w:val="20"/>
        </w:rPr>
        <w:t>Toda vista, pantalla o componente con carga asíncrona debe implementar de forma exhaustiva los estados Loading, Empty, Error, Success y Offline.</w:t>
      </w:r>
    </w:p>
    <w:p>
      <w:pPr>
        <w:pStyle w:val="ListBullet"/>
        <w:numPr>
          <w:ilvl w:val="0"/>
          <w:numId w:val="1"/>
        </w:numPr>
        <w:spacing w:lineRule="auto" w:line="276" w:before="0" w:after="60"/>
        <w:contextualSpacing/>
        <w:rPr/>
      </w:pPr>
      <w:r>
        <w:rPr>
          <w:rFonts w:ascii="Arial" w:hAnsi="Arial"/>
          <w:b/>
          <w:color w:val="1E293B"/>
          <w:sz w:val="20"/>
        </w:rPr>
        <w:t xml:space="preserve">5. Calidad y Cobertura Honesta (TDD 100/80/0): </w:t>
      </w:r>
      <w:r>
        <w:rPr>
          <w:rFonts w:ascii="Arial" w:hAnsi="Arial"/>
          <w:color w:val="1E293B"/>
          <w:sz w:val="20"/>
        </w:rPr>
        <w:t>Cobertura del 100% en servicios de lógica de negocio y validación de frontera; 80% en controladores e integración de persistencia; 0% en maquetación visual pura.</w:t>
      </w:r>
    </w:p>
    <w:p>
      <w:pPr>
        <w:pStyle w:val="Normal"/>
        <w:keepNext w:val="true"/>
        <w:spacing w:before="280" w:after="120"/>
        <w:rPr/>
      </w:pPr>
      <w:r>
        <w:rPr>
          <w:rFonts w:ascii="Arial" w:hAnsi="Arial"/>
          <w:b/>
          <w:color w:val="1B365D"/>
          <w:sz w:val="26"/>
        </w:rPr>
        <w:t>4. Fronteras del Sistema (Alcance Innegociable)</w:t>
      </w:r>
    </w:p>
    <w:p>
      <w:pPr>
        <w:pStyle w:val="Normal"/>
        <w:keepNext w:val="true"/>
        <w:spacing w:before="200" w:after="80"/>
        <w:rPr/>
      </w:pPr>
      <w:r>
        <w:rPr>
          <w:rFonts w:ascii="Arial" w:hAnsi="Arial"/>
          <w:b/>
          <w:color w:val="4A6182"/>
          <w:sz w:val="23"/>
        </w:rPr>
        <w:t>Matriz de Alcance IN-SCOPE vs OUT-OF-SCOPE</w:t>
      </w:r>
    </w:p>
    <w:tbl>
      <w:tblPr>
        <w:tblW w:w="9600" w:type="dxa"/>
        <w:jc w:val="center"/>
        <w:tblInd w:w="0" w:type="dxa"/>
        <w:tblLayout w:type="fixed"/>
        <w:tblCellMar>
          <w:top w:w="120" w:type="dxa"/>
          <w:left w:w="150" w:type="dxa"/>
          <w:bottom w:w="120" w:type="dxa"/>
          <w:right w:w="150" w:type="dxa"/>
        </w:tblCellMar>
        <w:tblLook w:val="04a0" w:noHBand="0" w:noVBand="1" w:firstColumn="1" w:lastRow="0" w:lastColumn="0" w:firstRow="1"/>
      </w:tblPr>
      <w:tblGrid>
        <w:gridCol w:w="2659"/>
        <w:gridCol w:w="3745"/>
        <w:gridCol w:w="3196"/>
      </w:tblGrid>
      <w:tr>
        <w:trPr/>
        <w:tc>
          <w:tcPr>
            <w:tcW w:w="2659" w:type="dxa"/>
            <w:tcBorders/>
            <w:shd w:fill="1B365D"/>
          </w:tcPr>
          <w:p>
            <w:pPr>
              <w:pStyle w:val="Normal"/>
              <w:widowControl/>
              <w:bidi w:val="0"/>
              <w:spacing w:lineRule="auto" w:line="276" w:before="0" w:after="200"/>
              <w:jc w:val="left"/>
              <w:rPr/>
            </w:pPr>
            <w:r>
              <w:rPr>
                <w:rFonts w:ascii="Arial" w:hAnsi="Arial"/>
                <w:b/>
                <w:color w:val="FFFFFF"/>
                <w:sz w:val="19"/>
              </w:rPr>
              <w:t>Módulo / Subsistema</w:t>
            </w:r>
          </w:p>
        </w:tc>
        <w:tc>
          <w:tcPr>
            <w:tcW w:w="3745" w:type="dxa"/>
            <w:tcBorders/>
            <w:shd w:fill="1B365D"/>
          </w:tcPr>
          <w:p>
            <w:pPr>
              <w:pStyle w:val="Normal"/>
              <w:widowControl/>
              <w:bidi w:val="0"/>
              <w:spacing w:lineRule="auto" w:line="276" w:before="0" w:after="200"/>
              <w:jc w:val="left"/>
              <w:rPr/>
            </w:pPr>
            <w:r>
              <w:rPr>
                <w:rFonts w:ascii="Arial" w:hAnsi="Arial"/>
                <w:b/>
                <w:color w:val="FFFFFF"/>
                <w:sz w:val="19"/>
              </w:rPr>
              <w:t>IN-SCOPE (Incluido Taxativamente)</w:t>
            </w:r>
          </w:p>
        </w:tc>
        <w:tc>
          <w:tcPr>
            <w:tcW w:w="3196" w:type="dxa"/>
            <w:tcBorders/>
            <w:shd w:fill="1B365D"/>
          </w:tcPr>
          <w:p>
            <w:pPr>
              <w:pStyle w:val="Normal"/>
              <w:widowControl/>
              <w:bidi w:val="0"/>
              <w:spacing w:lineRule="auto" w:line="276" w:before="0" w:after="200"/>
              <w:jc w:val="left"/>
              <w:rPr/>
            </w:pPr>
            <w:r>
              <w:rPr>
                <w:rFonts w:ascii="Arial" w:hAnsi="Arial"/>
                <w:b/>
                <w:color w:val="FFFFFF"/>
                <w:sz w:val="19"/>
              </w:rPr>
              <w:t>OUT-OF-SCOPE (Excluido v1.0 MVP)</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authentication</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Registro con validación formal, login con rate limiting (5 intentos/15 min), logout con expiración de cookie y captura 401.</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Recuperación de contraseña por email, OAuth social (Google, GitHub), autenticación 2FA/MFA.</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users</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Creación de usuario, almacenamiento seguro de hash de contraseña, aislamiento de datos por userId.</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Edición de perfil, cambio de avatar, cambio de contraseña, roles/permisos administrativos.</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tasks, shopping, cleaning</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Motor común de items: CRUD completo, cambio completado/pendiente, wizard de creación en 3 pasos, menú contextual (...) y clic derecho, vaciado destructivo con modal crítico.</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Subtareas anidadas, tareas recurrentes automáticas, asignación colaborativa a múltiples usuarios, adjuntos multimedia.</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workspace &amp; hub</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Layout 1/3 (Hub) y 2/3 (Calendario), acordeones independientes con scroll contenido (overflow-y: auto), contadores dinámicos en cabeceras.</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Modos de visualización semanal/diaria, temas oscuros personalizables fuera del diseño oficial, widgets externos.</w:t>
            </w:r>
          </w:p>
        </w:tc>
      </w:tr>
      <w:tr>
        <w:trPr/>
        <w:tc>
          <w:tcPr>
            <w:tcW w:w="2659"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filters_and_sort</w:t>
            </w:r>
          </w:p>
        </w:tc>
        <w:tc>
          <w:tcPr>
            <w:tcW w:w="3745"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Filtro combinatorio AND estricto (Prioridad + Rango de Fechas + Estado) y reordenación multinivel en cliente con desempate determinista.</w:t>
            </w:r>
          </w:p>
        </w:tc>
        <w:tc>
          <w:tcPr>
            <w:tcW w:w="3196" w:type="dxa"/>
            <w:tcBorders/>
            <w:shd w:fill="FFFFFF"/>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Búsqueda por texto libre mediante motor Full-Text Search, guardado de vistas de filtros personalizadas en base de datos.</w:t>
            </w:r>
          </w:p>
        </w:tc>
      </w:tr>
      <w:tr>
        <w:trPr/>
        <w:tc>
          <w:tcPr>
            <w:tcW w:w="2659"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b/>
                <w:color w:val="1E293B"/>
                <w:sz w:val="17"/>
              </w:rPr>
              <w:t>calendar_sync</w:t>
            </w:r>
          </w:p>
        </w:tc>
        <w:tc>
          <w:tcPr>
            <w:tcW w:w="3745"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Asignación y cambio de fecha por Drag &amp; Drop, bloqueo de fechas pasadas, alerta de confirmación al mover tareas ya fechadas, arrastre masivo de lista de compra a un día, desasignación mediante clic derecho y salto de mes desde Hub.</w:t>
            </w:r>
          </w:p>
        </w:tc>
        <w:tc>
          <w:tcPr>
            <w:tcW w:w="3196" w:type="dxa"/>
            <w:tcBorders/>
            <w:shd w:fill="F8FAFC"/>
            <w:tcMar>
              <w:top w:w="100" w:type="dxa"/>
              <w:left w:w="140" w:type="dxa"/>
              <w:bottom w:w="100" w:type="dxa"/>
              <w:right w:w="140" w:type="dxa"/>
            </w:tcMar>
          </w:tcPr>
          <w:p>
            <w:pPr>
              <w:pStyle w:val="Normal"/>
              <w:widowControl/>
              <w:bidi w:val="0"/>
              <w:spacing w:lineRule="auto" w:line="276" w:before="0" w:after="200"/>
              <w:jc w:val="left"/>
              <w:rPr/>
            </w:pPr>
            <w:r>
              <w:rPr>
                <w:rFonts w:ascii="Arial" w:hAnsi="Arial"/>
                <w:color w:val="1E293B"/>
                <w:sz w:val="17"/>
              </w:rPr>
              <w:t>Sincronización externa con Google Calendar / Outlook, recordatorios por notificación push, eventos recurrentes.</w:t>
            </w:r>
          </w:p>
        </w:tc>
      </w:tr>
    </w:tbl>
    <w:p>
      <w:pPr>
        <w:pStyle w:val="Normal"/>
        <w:spacing w:before="0" w:after="80"/>
        <w:rPr/>
      </w:pPr>
      <w:r>
        <w:rPr/>
      </w:r>
    </w:p>
    <w:p>
      <w:pPr>
        <w:pStyle w:val="Normal"/>
        <w:keepNext w:val="true"/>
        <w:spacing w:before="280" w:after="120"/>
        <w:rPr/>
      </w:pPr>
      <w:r>
        <w:rPr>
          <w:rFonts w:ascii="Arial" w:hAnsi="Arial"/>
          <w:b/>
          <w:color w:val="1B365D"/>
          <w:sz w:val="26"/>
        </w:rPr>
        <w:t>5. Requisitos No Funcionales Cuantitativos (FURPS+ / ISO 25010)</w:t>
      </w:r>
    </w:p>
    <w:p>
      <w:pPr>
        <w:pStyle w:val="ListBullet"/>
        <w:numPr>
          <w:ilvl w:val="0"/>
          <w:numId w:val="1"/>
        </w:numPr>
        <w:spacing w:lineRule="auto" w:line="276" w:before="0" w:after="60"/>
        <w:contextualSpacing/>
        <w:rPr/>
      </w:pPr>
      <w:r>
        <w:rPr>
          <w:rFonts w:ascii="Arial" w:hAnsi="Arial"/>
          <w:b/>
          <w:color w:val="1E293B"/>
          <w:sz w:val="20"/>
        </w:rPr>
        <w:t xml:space="preserve">Rendimiento: </w:t>
      </w:r>
      <w:r>
        <w:rPr>
          <w:rFonts w:ascii="Arial" w:hAnsi="Arial"/>
          <w:color w:val="1E293B"/>
          <w:sz w:val="20"/>
        </w:rPr>
        <w:t>Tiempo de respuesta de API REST p95 &lt; 150ms bajo carga normal. Renderizado inicial de Next.js (TTI) &lt; 1.2s. Reordenación y filtrado en memoria de cliente &lt; 16ms (60 FPS sin saltos perceptibles).</w:t>
      </w:r>
    </w:p>
    <w:p>
      <w:pPr>
        <w:pStyle w:val="ListBullet"/>
        <w:numPr>
          <w:ilvl w:val="0"/>
          <w:numId w:val="1"/>
        </w:numPr>
        <w:spacing w:lineRule="auto" w:line="276" w:before="0" w:after="60"/>
        <w:contextualSpacing/>
        <w:rPr/>
      </w:pPr>
      <w:r>
        <w:rPr>
          <w:rFonts w:ascii="Arial" w:hAnsi="Arial"/>
          <w:b/>
          <w:color w:val="1E293B"/>
          <w:sz w:val="20"/>
        </w:rPr>
        <w:t xml:space="preserve">Seguridad: </w:t>
      </w:r>
      <w:r>
        <w:rPr>
          <w:rFonts w:ascii="Arial" w:hAnsi="Arial"/>
          <w:color w:val="1E293B"/>
          <w:sz w:val="20"/>
        </w:rPr>
        <w:t>Línea base OWASP Top 10 cumplida. Sesiones en cookies HttpOnly/Secure/SameSite=Strict. Cifrado bcrypt (cost 12). Rate limiting de 5 intentos por ventana de 15 minutos en autenticación. Validación DTO con whitelist: true para descartar campos no declarados.</w:t>
      </w:r>
    </w:p>
    <w:p>
      <w:pPr>
        <w:pStyle w:val="ListBullet"/>
        <w:numPr>
          <w:ilvl w:val="0"/>
          <w:numId w:val="1"/>
        </w:numPr>
        <w:spacing w:lineRule="auto" w:line="276" w:before="0" w:after="60"/>
        <w:contextualSpacing/>
        <w:rPr/>
      </w:pPr>
      <w:r>
        <w:rPr>
          <w:rFonts w:ascii="Arial" w:hAnsi="Arial"/>
          <w:b/>
          <w:color w:val="1E293B"/>
          <w:sz w:val="20"/>
        </w:rPr>
        <w:t xml:space="preserve">Usabilidad: </w:t>
      </w:r>
      <w:r>
        <w:rPr>
          <w:rFonts w:ascii="Arial" w:hAnsi="Arial"/>
          <w:color w:val="1E293B"/>
          <w:sz w:val="20"/>
        </w:rPr>
        <w:t>Cumplimiento visual y de contraste WCAG AA. Navegación completa por teclado accesible. Operabilidad táctil/trackpad garantizada mediante alternativa (...) al clic derecho. Truncado elíptico en títulos largos sin rotura de layout.</w:t>
      </w:r>
    </w:p>
    <w:p>
      <w:pPr>
        <w:pStyle w:val="ListBullet"/>
        <w:numPr>
          <w:ilvl w:val="0"/>
          <w:numId w:val="1"/>
        </w:numPr>
        <w:spacing w:lineRule="auto" w:line="276" w:before="0" w:after="60"/>
        <w:contextualSpacing/>
        <w:rPr/>
      </w:pPr>
      <w:r>
        <w:rPr>
          <w:rFonts w:ascii="Arial" w:hAnsi="Arial"/>
          <w:b/>
          <w:color w:val="1E293B"/>
          <w:sz w:val="20"/>
        </w:rPr>
        <w:t xml:space="preserve">Fiabilidad y Resiliencia: </w:t>
      </w:r>
      <w:r>
        <w:rPr>
          <w:rFonts w:ascii="Arial" w:hAnsi="Arial"/>
          <w:color w:val="1E293B"/>
          <w:sz w:val="20"/>
        </w:rPr>
        <w:t>Manejo preventivo de desconexión (estado Offline): banner visible y bloqueo de mutaciones para evitar desincronización o pérdida de datos. Reversión automática (rollback) en memoria si una llamada de mutación falla por error 500.</w:t>
      </w:r>
    </w:p>
    <w:p>
      <w:pPr>
        <w:pStyle w:val="Normal"/>
        <w:keepNext w:val="true"/>
        <w:spacing w:before="280" w:after="120"/>
        <w:rPr/>
      </w:pPr>
      <w:r>
        <w:rPr>
          <w:rFonts w:ascii="Arial" w:hAnsi="Arial"/>
          <w:b/>
          <w:color w:val="1B365D"/>
          <w:sz w:val="26"/>
        </w:rPr>
        <w:t>6. Criterios de Aceptación Globales del Producto</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Todos los 16 procesos algorítmicos especificados en el zug-DSL se ejecutan sin desviaciones ni ambigüedades.</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La batería de tests automatizados (unitarios y de integración) alcanza una cobertura honesta del 100% en lógica de negocio y 80% en endpoints/controladores sin tests desactivados ni burlas triviales.</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aceptable SI Y SOLO SI: </w:t>
      </w:r>
      <w:r>
        <w:rPr>
          <w:rFonts w:ascii="Arial" w:hAnsi="Arial"/>
          <w:color w:val="1E293B"/>
          <w:sz w:val="20"/>
        </w:rPr>
        <w:t>El aislamiento de datos entre usuarios está formalmente verificado y auditado: ningún usuario puede leer, editar ni borrar datos de otro usuario bajo ninguna circunstancia.</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Existe cualquier ruta del backend que exponga o modifique datos de un usuario sin verificar la identidad del token de sesión.</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introducen directorios o archivos cajón de sastre genéricos (utils/, shared/, helpers/) violando Screaming Architecture.</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detectan tokens o credenciales almacenados en localStorage o sessionStorage del navegador.</w:t>
      </w:r>
    </w:p>
    <w:p>
      <w:pPr>
        <w:pStyle w:val="ListBullet"/>
        <w:numPr>
          <w:ilvl w:val="0"/>
          <w:numId w:val="1"/>
        </w:numPr>
        <w:spacing w:lineRule="auto" w:line="276" w:before="0" w:after="60"/>
        <w:contextualSpacing/>
        <w:rPr/>
      </w:pPr>
      <w:r>
        <w:rPr>
          <w:rFonts w:ascii="Arial" w:hAnsi="Arial"/>
          <w:b/>
          <w:color w:val="1E293B"/>
          <w:sz w:val="20"/>
        </w:rPr>
        <w:t xml:space="preserve">Una versión del producto es INVÁLIDA SI: </w:t>
      </w:r>
      <w:r>
        <w:rPr>
          <w:rFonts w:ascii="Arial" w:hAnsi="Arial"/>
          <w:color w:val="1E293B"/>
          <w:sz w:val="20"/>
        </w:rPr>
        <w:t>Se omiten cualquiera de los 5 estados canónicos (Loading, Empty, Error, Success, Offline) en componentes con operaciones asíncronas.</w:t>
      </w:r>
    </w:p>
    <w:sectPr>
      <w:type w:val="nextPage"/>
      <w:pgSz w:w="11906" w:h="16838"/>
      <w:pgMar w:left="1152" w:right="1152" w:gutter="0" w:header="0" w:top="1152" w:footer="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3</Pages>
  <Words>1125</Words>
  <Characters>6799</Characters>
  <CharactersWithSpaces>7831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2026-09-28T21:44:14Z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