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Arial" w:hAnsi="Arial"/>
          <w:b/>
          <w:color w:val="1B365D"/>
          <w:sz w:val="44"/>
        </w:rPr>
        <w:t>CENTRA-T · DOMAIN MODEL</w:t>
      </w:r>
    </w:p>
    <w:p>
      <w:pPr>
        <w:pStyle w:val="Normal"/>
        <w:spacing w:before="0" w:after="280"/>
        <w:rPr/>
      </w:pPr>
      <w:r>
        <w:rPr>
          <w:rFonts w:ascii="Arial" w:hAnsi="Arial"/>
          <w:i/>
          <w:color w:val="64748B"/>
          <w:sz w:val="22"/>
        </w:rPr>
        <w:t>Documento Canónico 03 de 10 · Ontología de Dominio Puro y DDD Táctico · Método zug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1. Propósito y Principios Ontológicos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El presente documento formaliza la ontología, invariantes y reglas de negocio puras de Centra-T bajo los principios de Domain-Driven Design (DDD) táctico. Constituye el núcleo conceptual del software y se mantiene en aislamiento absoluto respecto a bases de datos, APIs de transporte, frameworks web (NestJS, Next.js) o mecanismos de almacenamiento físico. Ninguna clase o tipo del dominio puede importar paquetes de infraestructura.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Aislamiento Absoluto: </w:t>
      </w:r>
      <w:r>
        <w:rPr>
          <w:rFonts w:ascii="Arial" w:hAnsi="Arial"/>
          <w:color w:val="1E293B"/>
          <w:sz w:val="20"/>
        </w:rPr>
        <w:t>Las entidades de dominio son las únicas autoridades para mutar su propio estado interno mediante métodos de negocio explícitos. Queda prohibido el uso de setters anémicos.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Result Pattern Estricto: </w:t>
      </w:r>
      <w:r>
        <w:rPr>
          <w:rFonts w:ascii="Arial" w:hAnsi="Arial"/>
          <w:color w:val="1E293B"/>
          <w:sz w:val="20"/>
        </w:rPr>
        <w:t>Los errores de negocio no lanzan excepciones genéricas (throw new Error()); retornan instancias de Result&lt;Success, DomainError&gt; fuertemente tipadas.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Invariantes Blindadas: </w:t>
      </w:r>
      <w:r>
        <w:rPr>
          <w:rFonts w:ascii="Arial" w:hAnsi="Arial"/>
          <w:color w:val="1E293B"/>
          <w:sz w:val="20"/>
        </w:rPr>
        <w:t>Toda regla se formula como una condición innegociable que debe satisfacerse antes, durante y después de cualquier transacción atómica.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2. Catálogo de Objetos de Valor (Value Objects - VOs)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Los Objetos de Valor son inmutables, carecen de identidad propia y se definen exclusivamente por sus atributos y auto-validación en el momento de instanciación.</w:t>
      </w:r>
    </w:p>
    <w:tbl>
      <w:tblPr>
        <w:tblW w:w="960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527"/>
        <w:gridCol w:w="1418"/>
        <w:gridCol w:w="4258"/>
        <w:gridCol w:w="2397"/>
      </w:tblGrid>
      <w:tr>
        <w:trPr/>
        <w:tc>
          <w:tcPr>
            <w:tcW w:w="1527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Value Object</w:t>
            </w:r>
          </w:p>
        </w:tc>
        <w:tc>
          <w:tcPr>
            <w:tcW w:w="1418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Tipo Primitivo</w:t>
            </w:r>
          </w:p>
        </w:tc>
        <w:tc>
          <w:tcPr>
            <w:tcW w:w="4258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Regla de Invariante</w:t>
            </w:r>
          </w:p>
        </w:tc>
        <w:tc>
          <w:tcPr>
            <w:tcW w:w="2397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Fallo / Error</w:t>
            </w:r>
          </w:p>
        </w:tc>
      </w:tr>
      <w:tr>
        <w:trPr/>
        <w:tc>
          <w:tcPr>
            <w:tcW w:w="152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UserId</w:t>
            </w:r>
          </w:p>
        </w:tc>
        <w:tc>
          <w:tcPr>
            <w:tcW w:w="141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 (UUID v4)</w:t>
            </w:r>
          </w:p>
        </w:tc>
        <w:tc>
          <w:tcPr>
            <w:tcW w:w="425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Debe ser un identificador único universal versión 4 válido.</w:t>
            </w:r>
          </w:p>
        </w:tc>
        <w:tc>
          <w:tcPr>
            <w:tcW w:w="239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ERR_INVALID_USER_ID.</w:t>
            </w:r>
          </w:p>
        </w:tc>
      </w:tr>
      <w:tr>
        <w:trPr/>
        <w:tc>
          <w:tcPr>
            <w:tcW w:w="152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UserEmail</w:t>
            </w:r>
          </w:p>
        </w:tc>
        <w:tc>
          <w:tcPr>
            <w:tcW w:w="141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425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Formato RFC 5322 válido, normalizado a minúsculas, sin espacios, longitud entre 5 y 120 caracteres.</w:t>
            </w:r>
          </w:p>
        </w:tc>
        <w:tc>
          <w:tcPr>
            <w:tcW w:w="239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ERR_INVALID_EMAIL_FORMAT.</w:t>
            </w:r>
          </w:p>
        </w:tc>
      </w:tr>
      <w:tr>
        <w:trPr/>
        <w:tc>
          <w:tcPr>
            <w:tcW w:w="152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PasswordHash</w:t>
            </w:r>
          </w:p>
        </w:tc>
        <w:tc>
          <w:tcPr>
            <w:tcW w:w="141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425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Cadena con hash bcrypt válido (formato $2b$12$... con salt integrado). Jamás almacena texto plano.</w:t>
            </w:r>
          </w:p>
        </w:tc>
        <w:tc>
          <w:tcPr>
            <w:tcW w:w="239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ERR_INVALID_PASSWORD_HASH.</w:t>
            </w:r>
          </w:p>
        </w:tc>
      </w:tr>
      <w:tr>
        <w:trPr/>
        <w:tc>
          <w:tcPr>
            <w:tcW w:w="152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ItemId</w:t>
            </w:r>
          </w:p>
        </w:tc>
        <w:tc>
          <w:tcPr>
            <w:tcW w:w="141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 (UUID v4)</w:t>
            </w:r>
          </w:p>
        </w:tc>
        <w:tc>
          <w:tcPr>
            <w:tcW w:w="425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Debe ser un identificador único universal versión 4 válido.</w:t>
            </w:r>
          </w:p>
        </w:tc>
        <w:tc>
          <w:tcPr>
            <w:tcW w:w="239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ERR_INVALID_ITEM_ID.</w:t>
            </w:r>
          </w:p>
        </w:tc>
      </w:tr>
      <w:tr>
        <w:trPr/>
        <w:tc>
          <w:tcPr>
            <w:tcW w:w="152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ItemName</w:t>
            </w:r>
          </w:p>
        </w:tc>
        <w:tc>
          <w:tcPr>
            <w:tcW w:w="141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425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Cadena de 1 a 120 caracteres. Trim obligatorio. No puede estar vacía ni contener solo espacios.</w:t>
            </w:r>
          </w:p>
        </w:tc>
        <w:tc>
          <w:tcPr>
            <w:tcW w:w="239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ERR_INVALID_ITEM_NAME.</w:t>
            </w:r>
          </w:p>
        </w:tc>
      </w:tr>
      <w:tr>
        <w:trPr/>
        <w:tc>
          <w:tcPr>
            <w:tcW w:w="152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ItemDescription</w:t>
            </w:r>
          </w:p>
        </w:tc>
        <w:tc>
          <w:tcPr>
            <w:tcW w:w="141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425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Cadena de 0 a 1000 caracteres. Campo opcional (permite cadena vacía).</w:t>
            </w:r>
          </w:p>
        </w:tc>
        <w:tc>
          <w:tcPr>
            <w:tcW w:w="239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ERR_INVALID_ITEM_DESCRIPTION.</w:t>
            </w:r>
          </w:p>
        </w:tc>
      </w:tr>
      <w:tr>
        <w:trPr/>
        <w:tc>
          <w:tcPr>
            <w:tcW w:w="152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ItemPriority</w:t>
            </w:r>
          </w:p>
        </w:tc>
        <w:tc>
          <w:tcPr>
            <w:tcW w:w="141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enum ('ALTA', 'MEDIA', 'BAJA')</w:t>
            </w:r>
          </w:p>
        </w:tc>
        <w:tc>
          <w:tcPr>
            <w:tcW w:w="425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Valores restringidos a Alta (peso 3), Media (peso 2) y Baja (peso 1). Inmutable por defecto.</w:t>
            </w:r>
          </w:p>
        </w:tc>
        <w:tc>
          <w:tcPr>
            <w:tcW w:w="239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ERR_INVALID_ITEM_PRIORITY.</w:t>
            </w:r>
          </w:p>
        </w:tc>
      </w:tr>
      <w:tr>
        <w:trPr/>
        <w:tc>
          <w:tcPr>
            <w:tcW w:w="152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ItemModule</w:t>
            </w:r>
          </w:p>
        </w:tc>
        <w:tc>
          <w:tcPr>
            <w:tcW w:w="141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enum ('tasks', 'shopping', 'cleaning')</w:t>
            </w:r>
          </w:p>
        </w:tc>
        <w:tc>
          <w:tcPr>
            <w:tcW w:w="4258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Identificador estricto del módulo funcional al que pertenece el elemento.</w:t>
            </w:r>
          </w:p>
        </w:tc>
        <w:tc>
          <w:tcPr>
            <w:tcW w:w="2397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ERR_INVALID_ITEM_MODULE.</w:t>
            </w:r>
          </w:p>
        </w:tc>
      </w:tr>
      <w:tr>
        <w:trPr/>
        <w:tc>
          <w:tcPr>
            <w:tcW w:w="152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ExecutionDate</w:t>
            </w:r>
          </w:p>
        </w:tc>
        <w:tc>
          <w:tcPr>
            <w:tcW w:w="141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Date | null</w:t>
            </w:r>
          </w:p>
        </w:tc>
        <w:tc>
          <w:tcPr>
            <w:tcW w:w="4258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Si es fecha, debe ser &gt;= fecha del día real en el momento de la asignación. No admite fechas pasadas.</w:t>
            </w:r>
          </w:p>
        </w:tc>
        <w:tc>
          <w:tcPr>
            <w:tcW w:w="2397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Retorna ERR_PAST_DATE_FORBIDDEN.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3. Catálogo de Entidades y Raíces de Agregado (Aggregate Roots)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Agregado 1: User (Aggregate Root)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Identidad: </w:t>
      </w:r>
      <w:r>
        <w:rPr>
          <w:rFonts w:ascii="Arial" w:hAnsi="Arial"/>
          <w:color w:val="1E293B"/>
          <w:sz w:val="20"/>
        </w:rPr>
        <w:t>UserId (UUID v4 generado criptográficamente al registrarse).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Atributos de Dominio: </w:t>
      </w:r>
      <w:r>
        <w:rPr>
          <w:rFonts w:ascii="Arial" w:hAnsi="Arial"/>
          <w:color w:val="1E293B"/>
          <w:sz w:val="20"/>
        </w:rPr>
        <w:t>id: UserId, email: UserEmail, passwordHash: PasswordHash, createdAt: Date, updatedAt: Date.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Invariantes de Negocio: </w:t>
      </w:r>
      <w:r>
        <w:rPr>
          <w:rFonts w:ascii="Arial" w:hAnsi="Arial"/>
          <w:color w:val="1E293B"/>
          <w:sz w:val="20"/>
        </w:rPr>
        <w:t>1) El email debe ser unívoco en el sistema; 2) La contraseña jamás puede existir en memoria de dominio en formato plano; 3) El usuario no puede pertenecer a más de un contexto de autenticación a la vez.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color w:val="1E293B"/>
          <w:sz w:val="21"/>
        </w:rPr>
        <w:t>Operaciones de Dominio (Métodos):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User.create(email: UserEmail, hash: PasswordHash): Result&lt;User, DomainError&gt; -&gt; </w:t>
      </w:r>
      <w:r>
        <w:rPr>
          <w:rFonts w:ascii="Arial" w:hAnsi="Arial"/>
          <w:color w:val="1E293B"/>
          <w:sz w:val="20"/>
        </w:rPr>
        <w:t>Crea una nueva instancia de usuario asegurando que el email sea válido y el hash cumpla las políticas de seguridad. Emite UserRegisteredEvent.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user.verifyPassword(candidateHash: PasswordHash): boolean -&gt; </w:t>
      </w:r>
      <w:r>
        <w:rPr>
          <w:rFonts w:ascii="Arial" w:hAnsi="Arial"/>
          <w:color w:val="1E293B"/>
          <w:sz w:val="20"/>
        </w:rPr>
        <w:t>Verifica si el hash corresponde con el secreto proporcionado mediante comparación resistente a timing-attacks.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Agregado 2: DomesticItem (Aggregate Root Unificado)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Entidad nuclear de Centra-T que gobierna de forma homogénea los tres dominios funcionales (Tareas Generales, Compra Semanal y Limpieza), encapsulando su ciclo de vida y garantizando el aislamiento de tenant.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Identidad: </w:t>
      </w:r>
      <w:r>
        <w:rPr>
          <w:rFonts w:ascii="Arial" w:hAnsi="Arial"/>
          <w:color w:val="1E293B"/>
          <w:sz w:val="20"/>
        </w:rPr>
        <w:t>ItemId (UUID v4 inmutable).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Atributos de Dominio: </w:t>
      </w:r>
      <w:r>
        <w:rPr>
          <w:rFonts w:ascii="Arial" w:hAnsi="Arial"/>
          <w:color w:val="1E293B"/>
          <w:sz w:val="20"/>
        </w:rPr>
        <w:t>id: ItemId, userId: UserId, modulo: ItemModule, nombre: ItemName, descripcion: ItemDescription, prioridad: ItemPriority, completado: boolean, fechaEjecucion: ExecutionDate | null, createdAt: Date, updatedAt: Date.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Invariantes de Negocio: </w:t>
      </w:r>
      <w:r>
        <w:rPr>
          <w:rFonts w:ascii="Arial" w:hAnsi="Arial"/>
          <w:color w:val="1E293B"/>
          <w:sz w:val="20"/>
        </w:rPr>
        <w:t>1) Toda entidad pertenece estrictamente a un único userId (aislamiento multitenant); 2) El módulo ('tasks' | 'shopping' | 'cleaning') es inmutable tras la creación; 3) Nace obligatoriamente con fechaEjecucion = null y completado = false; 4) La fecha de ejecución jamás puede situarse en el pasado respecto al momento de la asignación.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color w:val="1E293B"/>
          <w:sz w:val="21"/>
        </w:rPr>
        <w:t>Operaciones de Dominio (Métodos):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DomesticItem.create(userId, modulo, nombre, desc, prioridad): Result&lt;DomesticItem, DomainError&gt; -&gt; </w:t>
      </w:r>
      <w:r>
        <w:rPr>
          <w:rFonts w:ascii="Arial" w:hAnsi="Arial"/>
          <w:color w:val="1E293B"/>
          <w:sz w:val="20"/>
        </w:rPr>
        <w:t>Instancia un nuevo item doméstico en estado pendiente y sin fecha. Emite DomesticItemCreatedEvent.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item.rename(newName: ItemName): Result&lt;void, DomainError&gt; -&gt; </w:t>
      </w:r>
      <w:r>
        <w:rPr>
          <w:rFonts w:ascii="Arial" w:hAnsi="Arial"/>
          <w:color w:val="1E293B"/>
          <w:sz w:val="20"/>
        </w:rPr>
        <w:t>Modifica el nombre del item previa validación del nuevo ItemName. Emite DomesticItemRenamedEvent.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item.updateDescription(newDesc: ItemDescription): Result&lt;void, DomainError&gt; -&gt; </w:t>
      </w:r>
      <w:r>
        <w:rPr>
          <w:rFonts w:ascii="Arial" w:hAnsi="Arial"/>
          <w:color w:val="1E293B"/>
          <w:sz w:val="20"/>
        </w:rPr>
        <w:t>Actualiza la descripción del elemento garantizando el límite de 1000 caracteres.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item.changePriority(newPriority: ItemPriority): Result&lt;void, DomainError&gt; -&gt; </w:t>
      </w:r>
      <w:r>
        <w:rPr>
          <w:rFonts w:ascii="Arial" w:hAnsi="Arial"/>
          <w:color w:val="1E293B"/>
          <w:sz w:val="20"/>
        </w:rPr>
        <w:t>Modifica el nivel de prioridad entre Alta, Media o Baja. Emite DomesticItemPriorityChangedEvent.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item.toggleStatus(): Result&lt;void, DomainError&gt; -&gt; </w:t>
      </w:r>
      <w:r>
        <w:rPr>
          <w:rFonts w:ascii="Arial" w:hAnsi="Arial"/>
          <w:color w:val="1E293B"/>
          <w:sz w:val="20"/>
        </w:rPr>
        <w:t>Invierte el valor booleano de completado. Emite DomesticItemStatusToggledEvent.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item.scheduleDate(targetDate: Date, currentDate: Date): Result&lt;void, DomainError&gt; -&gt; </w:t>
      </w:r>
      <w:r>
        <w:rPr>
          <w:rFonts w:ascii="Arial" w:hAnsi="Arial"/>
          <w:color w:val="1E293B"/>
          <w:sz w:val="20"/>
        </w:rPr>
        <w:t>Asigna o actualiza la fecha de ejecución comprobando que targetDate &gt;= hoy. Emite DomesticItemScheduledEvent.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item.unscheduleDate(): Result&lt;void, DomainError&gt; -&gt; </w:t>
      </w:r>
      <w:r>
        <w:rPr>
          <w:rFonts w:ascii="Arial" w:hAnsi="Arial"/>
          <w:color w:val="1E293B"/>
          <w:sz w:val="20"/>
        </w:rPr>
        <w:t>Desvincula la fecha de ejecución estableciéndola en null sin destruir el item. Emite DomesticItemUnscheduledEvent.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4. Catálogo de Eventos de Dominio (Domain Events)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Los Eventos de Dominio representan hechos consumados en el pasado que son inmutables y notifican cambios de estado a otros módulos o subsistemas.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Evento de Dominio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Cuándo se Dispara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Payload Estructurado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UserRegisteredEvent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Tras persistir con éxito un nuevo usuario.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userId, email, occurredOn }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DomesticItemCreatedEvent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Tras crear cualquier tarea, compra o limpieza.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modulo, prioridad, occurredOn }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DomesticItemStatusToggledEvent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marcar/desmarcar completado o comprado.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completado, occurredOn }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DomesticItemRenamedEvent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cambiar el nombre del item.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nuevoNombre, occurredOn }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DomesticItemPriorityChangedEvent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modificar la prioridad del item.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nuevaPrioridad, occurredOn }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DomesticItemScheduledEvent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arrastrar o fijar fecha en el calendario.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fechaEjecucion, fechaPrevia, occurredOn }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DomesticItemUnscheduledEvent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retirar la fecha mediante clic derecho.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fechaRetirada, occurredOn }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DomesticItemDeletedEvent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eliminar un elemento individual.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itemId, userId, modulo, occurredOn }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DomesticModuleListClearedEvent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vaciar por completo la lista de un módulo.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userId, modulo, totalBorrados, occurredOn }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ShoppingListBulkScheduledEvent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Al arrastrar la lista completa de compra.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{ userId, totalProductos, fechaAsignada, occurredOn 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>
          <w:rFonts w:ascii="Arial" w:hAnsi="Arial"/>
          <w:b/>
          <w:color w:val="1B365D"/>
          <w:sz w:val="26"/>
        </w:rPr>
      </w:pPr>
      <w:r>
        <w:rPr/>
      </w:r>
    </w:p>
    <w:p>
      <w:pPr>
        <w:pStyle w:val="Normal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5. Matriz de Errores de Dominio (Patrón Result)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Queda terminantemente prohibido lanzar excepciones (throw) para flujos previstos de negocio. Toda violación de regla se modela mediante códigos de error de dominio inmutables: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Código de Error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Causa de Dominio / Invariante Violada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Severidad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ERR_AUTH_INVALID_CREDENTIALS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Email o contraseña no coincidentes en proceso de login.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ERR_AUTH_EMAIL_ALREADY_EXISTS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Intento de registro con email ya existente en la base de datos.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ERR_AUTH_RATE_LIMIT_EXCEEDED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Superado el límite de 5 intentos fallidos en 15 minutos.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Security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ERR_ITEM_NAME_EMPTY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Intento de instanciar o renombrar item con cadena vacía.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ERR_ITEM_NAME_TOO_LONG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Nombre de item superior a 120 caracteres.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ERR_ITEM_DESC_TOO_LONG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Descripción de item superior a 1000 caracteres.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ERR_ITEM_PAST_DATE_FORBIDDEN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Intento de programar un item en una fecha anterior al día actual.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ERR_ITEM_NOT_FOUND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Identificador de item inexistente en el catálogo del usuario.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ERR_ITEM_TENANT_MISMATCH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Intento de acceder a un item perteneciente a otro usuario (violación IDOR).</w:t>
            </w:r>
          </w:p>
        </w:tc>
        <w:tc>
          <w:tcPr>
            <w:tcW w:w="3202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Critical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ERR_MODULE_EMPTY_BULK_ACTION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Intento de arrastre masivo o vaciado sobre una lista sin elementos.</w:t>
            </w:r>
          </w:p>
        </w:tc>
        <w:tc>
          <w:tcPr>
            <w:tcW w:w="3202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Business</w:t>
            </w:r>
          </w:p>
        </w:tc>
      </w:tr>
    </w:tbl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1099</Words>
  <Characters>7296</Characters>
  <CharactersWithSpaces>8237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2026-09-28T21:51:00Z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