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44"/>
        </w:rPr>
        <w:t>CENTRA-T · MODULE MAP</w:t>
      </w:r>
    </w:p>
    <w:p>
      <w:pPr>
        <w:spacing w:before="0" w:after="280"/>
      </w:pPr>
      <w:r>
        <w:rPr>
          <w:rFonts w:ascii="Arial" w:hAnsi="Arial"/>
          <w:i/>
          <w:color w:val="64748B"/>
          <w:sz w:val="22"/>
        </w:rPr>
        <w:t>Documento Canónico 05 de 10 · Topografía Física y Screaming Architecture · Método zug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1. Principios de Modularización y Screaming Architecture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1E293B"/>
          <w:sz w:val="20"/>
        </w:rPr>
        <w:t>El Module Map establece la topografía física inmutable del repositorio backend de Centra-T. Se rige por los principios de Screaming Architecture y MVC Modular bajo NestJS: la estructura de carpetas 'grita' el dominio del negocio (gestión doméstica, autenticación, usuarios, tareas, compras y limpieza), y no los detalles de los frameworks subyacentes.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Modularización Orientada al Dominio: </w:t>
      </w:r>
      <w:r>
        <w:rPr>
          <w:rFonts w:ascii="Arial" w:hAnsi="Arial"/>
          <w:color w:val="1E293B"/>
          <w:sz w:val="20"/>
        </w:rPr>
        <w:t>El código se organiza estrictamente por módulos de negocio verticales autocontenidos (authentication, users, tasks, shopping, cleaning). Cada módulo agrupa sus propios Controladores (C), Servicios/Entidades (M) y DTOs (V).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Prohibición Absoluta de Cajones de Sastre: </w:t>
      </w:r>
      <w:r>
        <w:rPr>
          <w:rFonts w:ascii="Arial" w:hAnsi="Arial"/>
          <w:color w:val="1E293B"/>
          <w:sz w:val="20"/>
        </w:rPr>
        <w:t>Quedan terminantemente prohibidas en todo el proyecto carpetas genéricas como utils/, shared/, helpers/, common/ o misc/. Si una función o tipo es compartido por dos módulos, debe pertenecer a un módulo de soporte explícito o residir en el núcleo de dominio inmutable.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Fronteras de Módulo Estancas: </w:t>
      </w:r>
      <w:r>
        <w:rPr>
          <w:rFonts w:ascii="Arial" w:hAnsi="Arial"/>
          <w:color w:val="1E293B"/>
          <w:sz w:val="20"/>
        </w:rPr>
        <w:t>Todo acceso cruzado entre módulos se realiza exclusivamente a través de los servicios exportados en el módulo NestJS (@Module({ exports: [...] })). Prohibido importar directamente repositorios o archivos internos de otro módulo.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2. Árbol Físico de Directorios (Backend NestJS)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1E293B"/>
          <w:sz w:val="20"/>
        </w:rPr>
        <w:t>Estructura física canónica de /backend/src, sin desviaciones permitidas:</w:t>
      </w:r>
    </w:p>
    <w:p>
      <w:pPr>
        <w:spacing w:before="80" w:after="160" w:line="252" w:lineRule="auto"/>
        <w:shd w:fill="F1F5F9"/>
      </w:pPr>
      <w:r>
        <w:rPr>
          <w:rFonts w:ascii="Courier New" w:hAnsi="Courier New"/>
          <w:color w:val="1E293B"/>
          <w:sz w:val="17"/>
        </w:rPr>
        <w:t>backend/</w:t>
        <w:br/>
        <w:t>├── src/</w:t>
        <w:br/>
        <w:t>│   ├── main.ts                           # Bootstrap de NestJS, ValidationPipe global y Helmet</w:t>
        <w:br/>
        <w:t>│   ├── app.module.ts                     # Módulo raíz: orquestador de módulos de negocio</w:t>
        <w:br/>
        <w:t>│   │</w:t>
        <w:br/>
        <w:t>│   ├── authentication/                   # MÓDULO: Gestión de Sesiones y Seguridad</w:t>
        <w:br/>
        <w:t>│   │   ├── authentication.module.ts</w:t>
        <w:br/>
        <w:t>│   │   ├── controllers/</w:t>
        <w:br/>
        <w:t>│   │   │   └── authentication.controller.ts   # POST /login, POST /logout</w:t>
        <w:br/>
        <w:t>│   │   ├── services/</w:t>
        <w:br/>
        <w:t>│   │   │   └── authentication.service.ts      # Verificación bcrypt, emisión de tokens</w:t>
        <w:br/>
        <w:t>│   │   ├── dto/</w:t>
        <w:br/>
        <w:t>│   │   │   ├── login-credentials.dto.ts       # Contrato de entrada Login</w:t>
        <w:br/>
        <w:t>│   │   │   └── auth-session-response.dto.ts   # Contrato de respuesta de sesión</w:t>
        <w:br/>
        <w:t>│   │   ├── guards/</w:t>
        <w:br/>
        <w:t>│   │   │   ├── session-auth.guard.ts          # Protección de rutas mediante cookie</w:t>
        <w:br/>
        <w:t>│   │   │   └── throttler-login.guard.ts       # Rate limiting 5 intentos / 15 min</w:t>
        <w:br/>
        <w:t>│   │   └── strategies/</w:t>
        <w:br/>
        <w:t>│   │       └── jwt-cookie.strategy.ts         # Extracción de token de cookie HttpOnly</w:t>
        <w:br/>
        <w:t>│   │</w:t>
        <w:br/>
        <w:t>│   ├── users/                            # MÓDULO: Identidad y Tenants</w:t>
        <w:br/>
        <w:t>│   │   ├── users.module.ts</w:t>
        <w:br/>
        <w:t>│   │   ├── controllers/</w:t>
        <w:br/>
        <w:t>│   │   │   └── users.controller.ts            # POST /users (Registro)</w:t>
        <w:br/>
        <w:t>│   │   ├── services/</w:t>
        <w:br/>
        <w:t>│   │   │   └── users.service.ts               # Lógica de creación y consulta de usuarios</w:t>
        <w:br/>
        <w:t>│   │   ├── entities/</w:t>
        <w:br/>
        <w:t>│   │   │   └── user.entity.ts                 # Entidad relacional PostgreSQL / TypeORM</w:t>
        <w:br/>
        <w:t>│   │   ├── dto/</w:t>
        <w:br/>
        <w:t>│   │   │   ├── register-user.dto.ts           # Contrato de registro validado</w:t>
        <w:br/>
        <w:t>│   │   │   └── user-response.dto.ts           # DTO de salida sin hash sensible</w:t>
        <w:br/>
        <w:t>│   │   └── repositories/</w:t>
        <w:br/>
        <w:t>│   │       └── user.repository.ts             # Persistencia y consultas parametrizadas</w:t>
        <w:br/>
        <w:t>│   │</w:t>
        <w:br/>
        <w:t>│   ├── tasks/                            # MÓDULO: Tareas Generales</w:t>
        <w:br/>
        <w:t>│   │   ├── tasks.module.ts</w:t>
        <w:br/>
        <w:t>│   │   ├── controllers/</w:t>
        <w:br/>
        <w:t>│   │   │   └── tasks.controller.ts            # CRUD REST /tasks, /tasks/calendar</w:t>
        <w:br/>
        <w:t>│   │   ├── services/</w:t>
        <w:br/>
        <w:t>│   │   │   └── tasks.service.ts               # Invariantes y mutaciones de tareas</w:t>
        <w:br/>
        <w:t>│   │   ├── entities/</w:t>
        <w:br/>
        <w:t>│   │   │   └── task-item.entity.ts            # Entidad relacional (modulo='tasks')</w:t>
        <w:br/>
        <w:t>│   │   ├── dto/</w:t>
        <w:br/>
        <w:t>│   │   │   ├── create-task.dto.ts</w:t>
        <w:br/>
        <w:t>│   │   │   ├── update-task.dto.ts</w:t>
        <w:br/>
        <w:t>│   │   │   └── schedule-task.dto.ts</w:t>
        <w:br/>
        <w:t>│   │   └── repositories/</w:t>
        <w:br/>
        <w:t>│   │       └── task.repository.ts             # Filtros estrictos WHERE user_id = :userId</w:t>
        <w:br/>
        <w:t>│   │</w:t>
        <w:br/>
        <w:t>│   ├── shopping/                         # MÓDULO: Compra Semanal</w:t>
        <w:br/>
        <w:t>│   │   ├── shopping.module.ts</w:t>
        <w:br/>
        <w:t>│   │   ├── controllers/</w:t>
        <w:br/>
        <w:t>│   │   │   └── shopping.controller.ts         # CRUD REST /shopping, /bulk-schedule</w:t>
        <w:br/>
        <w:t>│   │   ├── services/</w:t>
        <w:br/>
        <w:t>│   │   │   └── shopping.service.ts            # Lógica de compra y arrastre masivo</w:t>
        <w:br/>
        <w:t>│   │   ├── entities/</w:t>
        <w:br/>
        <w:t>│   │   │   └── shopping-item.entity.ts        # Entidad relacional (modulo='shopping')</w:t>
        <w:br/>
        <w:t>│   │   ├── dto/</w:t>
        <w:br/>
        <w:t>│   │   │   ├── create-shopping-item.dto.ts</w:t>
        <w:br/>
        <w:t>│   │   │   ├── update-shopping-item.dto.ts</w:t>
        <w:br/>
        <w:t>│   │   │   └── bulk-schedule-shopping.dto.ts  # DTO para arrastre en bloque</w:t>
        <w:br/>
        <w:t>│   │   └── repositories/</w:t>
        <w:br/>
        <w:t>│   │       └── shopping.repository.ts</w:t>
        <w:br/>
        <w:t>│   │</w:t>
        <w:br/>
        <w:t>│   └── cleaning/                         # MÓDULO: Tareas de Limpieza</w:t>
        <w:br/>
        <w:t>│       ├── cleaning.module.ts</w:t>
        <w:br/>
        <w:t>│       ├── controllers/</w:t>
        <w:br/>
        <w:t>│       │   └── cleaning.controller.ts         # CRUD REST /cleaning</w:t>
        <w:br/>
        <w:t>│       ├── services/</w:t>
        <w:br/>
        <w:t>│       │   └── cleaning.service.ts            # Lógica específica de limpieza doméstica</w:t>
        <w:br/>
        <w:t>│       ├── entities/</w:t>
        <w:br/>
        <w:t>│       │   └── cleaning-item.entity.ts        # Entidad relacional (modulo='cleaning')</w:t>
        <w:br/>
        <w:t>│       ├── dto/</w:t>
        <w:br/>
        <w:t>│       │   ├── create-cleaning.dto.ts</w:t>
        <w:br/>
        <w:t>│       │   └── update-cleaning.dto.ts</w:t>
        <w:br/>
        <w:t>│       └── repositories/</w:t>
        <w:br/>
        <w:t>│           └── cleaning.repository.ts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3. Desglose Exhaustivo por Módulo</w:t>
      </w:r>
    </w:p>
    <w:p>
      <w:pPr>
        <w:keepNext/>
        <w:spacing w:before="200" w:after="80"/>
      </w:pPr>
      <w:r>
        <w:rPr>
          <w:rFonts w:ascii="Arial" w:hAnsi="Arial"/>
          <w:b/>
          <w:color w:val="4A6182"/>
          <w:sz w:val="23"/>
        </w:rPr>
        <w:t>Módulo: src/authentication/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Responsabilidad Única: </w:t>
      </w:r>
      <w:r>
        <w:rPr>
          <w:rFonts w:ascii="Arial" w:hAnsi="Arial"/>
          <w:color w:val="1E293B"/>
          <w:sz w:val="20"/>
        </w:rPr>
        <w:t>Gestión exclusiva del ciclo de vida de la sesión, verificación criptográfica de credenciales, protección contra fuerza bruta y emisión de cookies seguras.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Posesiones Físicas: </w:t>
      </w:r>
      <w:r>
        <w:rPr>
          <w:rFonts w:ascii="Arial" w:hAnsi="Arial"/>
          <w:color w:val="1E293B"/>
          <w:sz w:val="20"/>
        </w:rPr>
        <w:t>Controlador HTTP (/login, /logout), Servicio de autenticación, DTOs de credenciales, Guards de sesión y Throttler, Estrategia JWT Cookie.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Exportaciones Públicas (API NestJS): </w:t>
      </w:r>
      <w:r>
        <w:rPr>
          <w:rFonts w:ascii="Arial" w:hAnsi="Arial"/>
          <w:color w:val="1E293B"/>
          <w:sz w:val="20"/>
        </w:rPr>
        <w:t>SessionAuthGuard (protector de rutas), AuthenticationService (validación interna de identidad).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Dependencias Permitidas: </w:t>
      </w:r>
      <w:r>
        <w:rPr>
          <w:rFonts w:ascii="Arial" w:hAnsi="Arial"/>
          <w:color w:val="1E293B"/>
          <w:sz w:val="20"/>
        </w:rPr>
        <w:t>src/users/ (únicamente UsersService para consultar existencia y hash de usuario).</w:t>
      </w:r>
    </w:p>
    <w:p>
      <w:pPr>
        <w:keepNext/>
        <w:spacing w:before="200" w:after="80"/>
      </w:pPr>
      <w:r>
        <w:rPr>
          <w:rFonts w:ascii="Arial" w:hAnsi="Arial"/>
          <w:b/>
          <w:color w:val="4A6182"/>
          <w:sz w:val="23"/>
        </w:rPr>
        <w:t>Módulo: src/users/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Responsabilidad Única: </w:t>
      </w:r>
      <w:r>
        <w:rPr>
          <w:rFonts w:ascii="Arial" w:hAnsi="Arial"/>
          <w:color w:val="1E293B"/>
          <w:sz w:val="20"/>
        </w:rPr>
        <w:t>Gestión de la entidad User, persistencia de cuentas, verificación de unicidad de email y aislamiento estricto de tenant.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Posesiones Físicas: </w:t>
      </w:r>
      <w:r>
        <w:rPr>
          <w:rFonts w:ascii="Arial" w:hAnsi="Arial"/>
          <w:color w:val="1E293B"/>
          <w:sz w:val="20"/>
        </w:rPr>
        <w:t>Controlador HTTP (/users), Servicio de usuarios, Entidad User relacional, DTOs de registro, Repositorio TypeORM.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Exportaciones Públicas (API NestJS): </w:t>
      </w:r>
      <w:r>
        <w:rPr>
          <w:rFonts w:ascii="Arial" w:hAnsi="Arial"/>
          <w:color w:val="1E293B"/>
          <w:sz w:val="20"/>
        </w:rPr>
        <w:t>UsersService (creación y consulta de usuarios por ID o email), UserEntity.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Dependencias Permitidas: </w:t>
      </w:r>
      <w:r>
        <w:rPr>
          <w:rFonts w:ascii="Arial" w:hAnsi="Arial"/>
          <w:color w:val="1E293B"/>
          <w:sz w:val="20"/>
        </w:rPr>
        <w:t>Ninguno (Módulo base independiente).</w:t>
      </w:r>
    </w:p>
    <w:p>
      <w:pPr>
        <w:keepNext/>
        <w:spacing w:before="200" w:after="80"/>
      </w:pPr>
      <w:r>
        <w:rPr>
          <w:rFonts w:ascii="Arial" w:hAnsi="Arial"/>
          <w:b/>
          <w:color w:val="4A6182"/>
          <w:sz w:val="23"/>
        </w:rPr>
        <w:t>Módulo: src/tasks/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Responsabilidad Única: </w:t>
      </w:r>
      <w:r>
        <w:rPr>
          <w:rFonts w:ascii="Arial" w:hAnsi="Arial"/>
          <w:color w:val="1E293B"/>
          <w:sz w:val="20"/>
        </w:rPr>
        <w:t>Gestión del dominio de Tareas Generales, operaciones de ciclo de vida (creación, edición, completado, eliminación y vaciado) y programación temporal en el calendario.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Posesiones Físicas: </w:t>
      </w:r>
      <w:r>
        <w:rPr>
          <w:rFonts w:ascii="Arial" w:hAnsi="Arial"/>
          <w:color w:val="1E293B"/>
          <w:sz w:val="20"/>
        </w:rPr>
        <w:t>Controlador HTTP (/tasks), Servicio de tareas, Entidad TaskItem, DTOs de mutación y consulta por mes, Repositorio TypeORM.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Exportaciones Públicas (API NestJS): </w:t>
      </w:r>
      <w:r>
        <w:rPr>
          <w:rFonts w:ascii="Arial" w:hAnsi="Arial"/>
          <w:color w:val="1E293B"/>
          <w:sz w:val="20"/>
        </w:rPr>
        <w:t>TasksService (consultas agregadas para el calendario mensual).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Dependencias Permitidas: </w:t>
      </w:r>
      <w:r>
        <w:rPr>
          <w:rFonts w:ascii="Arial" w:hAnsi="Arial"/>
          <w:color w:val="1E293B"/>
          <w:sz w:val="20"/>
        </w:rPr>
        <w:t>src/authentication/ (para SessionAuthGuard y decorador @CurrentUser).</w:t>
      </w:r>
    </w:p>
    <w:p>
      <w:pPr>
        <w:keepNext/>
        <w:spacing w:before="200" w:after="80"/>
      </w:pPr>
      <w:r>
        <w:rPr>
          <w:rFonts w:ascii="Arial" w:hAnsi="Arial"/>
          <w:b/>
          <w:color w:val="4A6182"/>
          <w:sz w:val="23"/>
        </w:rPr>
        <w:t>Módulo: src/shopping/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Responsabilidad Única: </w:t>
      </w:r>
      <w:r>
        <w:rPr>
          <w:rFonts w:ascii="Arial" w:hAnsi="Arial"/>
          <w:color w:val="1E293B"/>
          <w:sz w:val="20"/>
        </w:rPr>
        <w:t>Gestión de la Lista de la Compra Semanal, operaciones de productos (creación, marcado como comprado) y la funcionalidad específica de arrastre masivo al calendario.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Posesiones Físicas: </w:t>
      </w:r>
      <w:r>
        <w:rPr>
          <w:rFonts w:ascii="Arial" w:hAnsi="Arial"/>
          <w:color w:val="1E293B"/>
          <w:sz w:val="20"/>
        </w:rPr>
        <w:t>Controlador HTTP (/shopping), Servicio de compras, Entidad ShoppingItem, DTO de bulk-schedule, Repositorio TypeORM.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Exportaciones Públicas (API NestJS): </w:t>
      </w:r>
      <w:r>
        <w:rPr>
          <w:rFonts w:ascii="Arial" w:hAnsi="Arial"/>
          <w:color w:val="1E293B"/>
          <w:sz w:val="20"/>
        </w:rPr>
        <w:t>ShoppingService (consultas agregadas para el calendario mensual).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Dependencias Permitidas: </w:t>
      </w:r>
      <w:r>
        <w:rPr>
          <w:rFonts w:ascii="Arial" w:hAnsi="Arial"/>
          <w:color w:val="1E293B"/>
          <w:sz w:val="20"/>
        </w:rPr>
        <w:t>src/authentication/ (para SessionAuthGuard y decorador @CurrentUser).</w:t>
      </w:r>
    </w:p>
    <w:p>
      <w:pPr>
        <w:keepNext/>
        <w:spacing w:before="200" w:after="80"/>
      </w:pPr>
      <w:r>
        <w:rPr>
          <w:rFonts w:ascii="Arial" w:hAnsi="Arial"/>
          <w:b/>
          <w:color w:val="4A6182"/>
          <w:sz w:val="23"/>
        </w:rPr>
        <w:t>Módulo: src/cleaning/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Responsabilidad Única: </w:t>
      </w:r>
      <w:r>
        <w:rPr>
          <w:rFonts w:ascii="Arial" w:hAnsi="Arial"/>
          <w:color w:val="1E293B"/>
          <w:sz w:val="20"/>
        </w:rPr>
        <w:t>Gestión del catálogo de Tareas de Limpieza doméstica, seguimiento de tareas activas/realizadas y sincronización con el calendario interactivo.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Posesiones Físicas: </w:t>
      </w:r>
      <w:r>
        <w:rPr>
          <w:rFonts w:ascii="Arial" w:hAnsi="Arial"/>
          <w:color w:val="1E293B"/>
          <w:sz w:val="20"/>
        </w:rPr>
        <w:t>Controlador HTTP (/cleaning), Servicio de limpieza, Entidad CleaningItem, DTOs de mutación y filtrado, Repositorio TypeORM.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Exportaciones Públicas (API NestJS): </w:t>
      </w:r>
      <w:r>
        <w:rPr>
          <w:rFonts w:ascii="Arial" w:hAnsi="Arial"/>
          <w:color w:val="1E293B"/>
          <w:sz w:val="20"/>
        </w:rPr>
        <w:t>CleaningService (consultas agregadas para el calendario mensual).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Dependencias Permitidas: </w:t>
      </w:r>
      <w:r>
        <w:rPr>
          <w:rFonts w:ascii="Arial" w:hAnsi="Arial"/>
          <w:color w:val="1E293B"/>
          <w:sz w:val="20"/>
        </w:rPr>
        <w:t>src/authentication/ (para SessionAuthGuard y decorador @CurrentUser).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4. Matriz de Dependencias Lícitas (Fronteras de Código)</w:t>
      </w:r>
    </w:p>
    <w:p>
      <w:pPr>
        <w:spacing w:before="0" w:after="80" w:line="276" w:lineRule="auto"/>
      </w:pPr>
      <w:r>
        <w:rPr>
          <w:rFonts w:ascii="Arial" w:hAnsi="Arial"/>
          <w:i w:val="0"/>
          <w:color w:val="1E293B"/>
          <w:sz w:val="20"/>
        </w:rPr>
        <w:t>Para erradicar dependencias circulares y acoplamientos espagueti, se establece la matriz bidimensional de importaciones autorizadas y terminantemente prohibidas: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Módulo Origen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Módulos a los que PUEDE importar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Módulos PROHIBIDOS (Violación Arquitectónica)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authentication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users (solo UsersService)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tasks, shopping, cleaning, base de datos directa sin UsersService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users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Ninguno (Módulo base de datos e identidad)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authentication, tasks, shopping, cleaning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tasks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authentication (solo Guards/Decorators)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shopping, cleaning, users (directo)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shopping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authentication (solo Guards/Decorators)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tasks, cleaning, users (directo)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cleaning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authentication (solo Guards/Decorators)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tasks, shopping, users (directo)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Capas internas: Controllers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Services propios, DTOs propios, Guards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Repositories directos, Controllers de otros módulos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Capas internas: Services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Repositories propios, Entities propias, Services exportados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Controllers, Express Request/Response, Frontend directo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Capas internas: Entities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Ninguno (Definición pura de esquema)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Services, Controllers, DTOs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