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ascii="Arial" w:hAnsi="Arial"/>
          <w:b/>
          <w:color w:val="1B365D"/>
          <w:sz w:val="44"/>
        </w:rPr>
        <w:t>CENTRA-T · DOCUMENTO MAESTRO</w:t>
      </w:r>
    </w:p>
    <w:p>
      <w:pPr>
        <w:pStyle w:val="Normal"/>
        <w:spacing w:before="0" w:after="280"/>
        <w:rPr/>
      </w:pPr>
      <w:r>
        <w:rPr>
          <w:rFonts w:ascii="Arial" w:hAnsi="Arial"/>
          <w:i/>
          <w:color w:val="64748B"/>
          <w:sz w:val="22"/>
        </w:rPr>
        <w:t>Documento Canónico 01 de 10 · Arquitectura y Línea Base de Producto · Método zug</w:t>
      </w:r>
    </w:p>
    <w:p>
      <w:pPr>
        <w:pStyle w:val="Normal"/>
        <w:keepNext w:val="true"/>
        <w:spacing w:before="280" w:after="120"/>
        <w:rPr/>
      </w:pPr>
      <w:r>
        <w:rPr>
          <w:rFonts w:ascii="Arial" w:hAnsi="Arial"/>
          <w:b/>
          <w:color w:val="1B365D"/>
          <w:sz w:val="26"/>
        </w:rPr>
        <w:t>1. Identificación y Ficha Técnica</w:t>
      </w:r>
    </w:p>
    <w:p>
      <w:pPr>
        <w:pStyle w:val="ListBullet"/>
        <w:numPr>
          <w:ilvl w:val="0"/>
          <w:numId w:val="1"/>
        </w:numPr>
        <w:spacing w:lineRule="auto" w:line="276" w:before="0" w:after="60"/>
        <w:contextualSpacing/>
        <w:rPr/>
      </w:pPr>
      <w:r>
        <w:rPr>
          <w:rFonts w:ascii="Arial" w:hAnsi="Arial"/>
          <w:b/>
          <w:color w:val="1E293B"/>
          <w:sz w:val="20"/>
        </w:rPr>
        <w:t xml:space="preserve">Producto: </w:t>
      </w:r>
      <w:r>
        <w:rPr>
          <w:rFonts w:ascii="Arial" w:hAnsi="Arial"/>
          <w:color w:val="1E293B"/>
          <w:sz w:val="20"/>
        </w:rPr>
        <w:t>Centra-T (Gestor Doméstico Integral y Planificador Temporal)</w:t>
      </w:r>
    </w:p>
    <w:p>
      <w:pPr>
        <w:pStyle w:val="ListBullet"/>
        <w:numPr>
          <w:ilvl w:val="0"/>
          <w:numId w:val="1"/>
        </w:numPr>
        <w:spacing w:lineRule="auto" w:line="276" w:before="0" w:after="60"/>
        <w:contextualSpacing/>
        <w:rPr/>
      </w:pPr>
      <w:r>
        <w:rPr>
          <w:rFonts w:ascii="Arial" w:hAnsi="Arial"/>
          <w:b/>
          <w:color w:val="1E293B"/>
          <w:sz w:val="20"/>
        </w:rPr>
        <w:t xml:space="preserve">Versión: </w:t>
      </w:r>
      <w:r>
        <w:rPr>
          <w:rFonts w:ascii="Arial" w:hAnsi="Arial"/>
          <w:color w:val="1E293B"/>
          <w:sz w:val="20"/>
        </w:rPr>
        <w:t>v1.0.0 (MVP)</w:t>
      </w:r>
    </w:p>
    <w:p>
      <w:pPr>
        <w:pStyle w:val="ListBullet"/>
        <w:numPr>
          <w:ilvl w:val="0"/>
          <w:numId w:val="1"/>
        </w:numPr>
        <w:spacing w:lineRule="auto" w:line="276" w:before="0" w:after="60"/>
        <w:contextualSpacing/>
        <w:rPr/>
      </w:pPr>
      <w:r>
        <w:rPr>
          <w:rFonts w:ascii="Arial" w:hAnsi="Arial"/>
          <w:b/>
          <w:color w:val="1E293B"/>
          <w:sz w:val="20"/>
        </w:rPr>
        <w:t xml:space="preserve">Estado: </w:t>
      </w:r>
      <w:r>
        <w:rPr>
          <w:rFonts w:ascii="Arial" w:hAnsi="Arial"/>
          <w:color w:val="1E293B"/>
          <w:sz w:val="20"/>
        </w:rPr>
        <w:t>Línea Base Aprobada para Construcción</w:t>
      </w:r>
    </w:p>
    <w:p>
      <w:pPr>
        <w:pStyle w:val="ListBullet"/>
        <w:numPr>
          <w:ilvl w:val="0"/>
          <w:numId w:val="1"/>
        </w:numPr>
        <w:spacing w:lineRule="auto" w:line="276" w:before="0" w:after="60"/>
        <w:contextualSpacing/>
        <w:rPr/>
      </w:pPr>
      <w:r>
        <w:rPr>
          <w:rFonts w:ascii="Arial" w:hAnsi="Arial"/>
          <w:b/>
          <w:color w:val="1E293B"/>
          <w:sz w:val="20"/>
        </w:rPr>
        <w:t xml:space="preserve">Tipo de Sistema: </w:t>
      </w:r>
      <w:r>
        <w:rPr>
          <w:rFonts w:ascii="Arial" w:hAnsi="Arial"/>
          <w:color w:val="1E293B"/>
          <w:sz w:val="20"/>
        </w:rPr>
        <w:t>Aplicación Web desacoplada (Frontend Next.js + Backend API REST NestJS)</w:t>
      </w:r>
    </w:p>
    <w:p>
      <w:pPr>
        <w:pStyle w:val="ListBullet"/>
        <w:numPr>
          <w:ilvl w:val="0"/>
          <w:numId w:val="1"/>
        </w:numPr>
        <w:spacing w:lineRule="auto" w:line="276" w:before="0" w:after="60"/>
        <w:contextualSpacing/>
        <w:rPr/>
      </w:pPr>
      <w:r>
        <w:rPr>
          <w:rFonts w:ascii="Arial" w:hAnsi="Arial"/>
          <w:b/>
          <w:color w:val="1E293B"/>
          <w:sz w:val="20"/>
        </w:rPr>
        <w:t xml:space="preserve">Modelo de Despliegue: </w:t>
      </w:r>
      <w:r>
        <w:rPr>
          <w:rFonts w:ascii="Arial" w:hAnsi="Arial"/>
          <w:color w:val="1E293B"/>
          <w:sz w:val="20"/>
        </w:rPr>
        <w:t>Monolito Modular distribuido con persistencia relacional PostgreSQL aislada por usuario</w:t>
      </w:r>
    </w:p>
    <w:p>
      <w:pPr>
        <w:pStyle w:val="Normal"/>
        <w:keepNext w:val="true"/>
        <w:spacing w:before="280" w:after="120"/>
        <w:rPr/>
      </w:pPr>
      <w:r>
        <w:rPr>
          <w:rFonts w:ascii="Arial" w:hAnsi="Arial"/>
          <w:b/>
          <w:color w:val="1B365D"/>
          <w:sz w:val="26"/>
        </w:rPr>
        <w:t>2. Qué es el Producto (Identidad y Propuesta de Valor)</w:t>
      </w:r>
    </w:p>
    <w:p>
      <w:pPr>
        <w:pStyle w:val="Normal"/>
        <w:spacing w:lineRule="auto" w:line="276" w:before="0" w:after="80"/>
        <w:rPr/>
      </w:pPr>
      <w:r>
        <w:rPr>
          <w:rFonts w:ascii="Arial" w:hAnsi="Arial"/>
          <w:b/>
          <w:color w:val="1E293B"/>
          <w:sz w:val="20"/>
        </w:rPr>
        <w:t xml:space="preserve">Definición Troncal: </w:t>
      </w:r>
      <w:r>
        <w:rPr>
          <w:rFonts w:ascii="Arial" w:hAnsi="Arial"/>
          <w:i w:val="false"/>
          <w:color w:val="1E293B"/>
          <w:sz w:val="20"/>
        </w:rPr>
        <w:t>Centra-T es un sistema de gestión doméstica y organización personal estructurado sobre un Workspace desacoplado que vincula de forma reactiva un panel lateral de control (Hub) con un lienzo de planificación temporal interactivo (Calendario). El producto unifica bajo un único motor de datos y reglas de dominio las áreas de Tareas Generales, Compra Semanal y Limpieza, proporcionando sincronización bidireccional mediante Drag &amp; Drop, gestión determinista de estados y aislamiento estanco de datos por usuario.</w:t>
      </w:r>
    </w:p>
    <w:p>
      <w:pPr>
        <w:pStyle w:val="Normal"/>
        <w:spacing w:lineRule="auto" w:line="276" w:before="0" w:after="80"/>
        <w:rPr/>
      </w:pPr>
      <w:r>
        <w:rPr>
          <w:rFonts w:ascii="Arial" w:hAnsi="Arial"/>
          <w:b/>
          <w:color w:val="1E293B"/>
          <w:sz w:val="20"/>
        </w:rPr>
        <w:t xml:space="preserve">Problema que Resuelve: </w:t>
      </w:r>
      <w:r>
        <w:rPr>
          <w:rFonts w:ascii="Arial" w:hAnsi="Arial"/>
          <w:i w:val="false"/>
          <w:color w:val="1E293B"/>
          <w:sz w:val="20"/>
        </w:rPr>
        <w:t>Resuelve la desconexión existente entre las listas estáticas de tareas y las herramientas tradicionales de calendario, eliminando la sobrecarga cognitiva requerida para coordinar el hogar. Permite capturar responsabilidades en segundos, jerarquizarlas por prioridad y fecha, y reprogramarlas interactivamente mediante arrastre sobre el calendario con retroalimentación visual inmediata.</w:t>
      </w:r>
    </w:p>
    <w:p>
      <w:pPr>
        <w:pStyle w:val="Normal"/>
        <w:keepNext w:val="true"/>
        <w:spacing w:before="200" w:after="80"/>
        <w:rPr/>
      </w:pPr>
      <w:r>
        <w:rPr>
          <w:rFonts w:ascii="Arial" w:hAnsi="Arial"/>
          <w:b/>
          <w:color w:val="4A6182"/>
          <w:sz w:val="23"/>
        </w:rPr>
        <w:t>Stack Tecnológico Justificado</w:t>
      </w:r>
    </w:p>
    <w:tbl>
      <w:tblPr>
        <w:tblW w:w="9600" w:type="dxa"/>
        <w:jc w:val="center"/>
        <w:tblInd w:w="0" w:type="dxa"/>
        <w:tblLayout w:type="fixed"/>
        <w:tblCellMar>
          <w:top w:w="120" w:type="dxa"/>
          <w:left w:w="150" w:type="dxa"/>
          <w:bottom w:w="120" w:type="dxa"/>
          <w:right w:w="150" w:type="dxa"/>
        </w:tblCellMar>
        <w:tblLook w:val="04a0" w:noHBand="0" w:noVBand="1" w:firstColumn="1" w:lastRow="0" w:lastColumn="0" w:firstRow="1"/>
      </w:tblPr>
      <w:tblGrid>
        <w:gridCol w:w="1704"/>
        <w:gridCol w:w="2605"/>
        <w:gridCol w:w="5291"/>
      </w:tblGrid>
      <w:tr>
        <w:trPr/>
        <w:tc>
          <w:tcPr>
            <w:tcW w:w="1704" w:type="dxa"/>
            <w:tcBorders/>
            <w:shd w:fill="1B365D"/>
          </w:tcPr>
          <w:p>
            <w:pPr>
              <w:pStyle w:val="Normal"/>
              <w:widowControl/>
              <w:bidi w:val="0"/>
              <w:spacing w:lineRule="auto" w:line="276" w:before="0" w:after="200"/>
              <w:jc w:val="left"/>
              <w:rPr/>
            </w:pPr>
            <w:r>
              <w:rPr>
                <w:rFonts w:ascii="Arial" w:hAnsi="Arial"/>
                <w:b/>
                <w:color w:val="FFFFFF"/>
                <w:sz w:val="19"/>
              </w:rPr>
              <w:t>Capa / Subsistema</w:t>
            </w:r>
          </w:p>
        </w:tc>
        <w:tc>
          <w:tcPr>
            <w:tcW w:w="2605" w:type="dxa"/>
            <w:tcBorders/>
            <w:shd w:fill="1B365D"/>
          </w:tcPr>
          <w:p>
            <w:pPr>
              <w:pStyle w:val="Normal"/>
              <w:widowControl/>
              <w:bidi w:val="0"/>
              <w:spacing w:lineRule="auto" w:line="276" w:before="0" w:after="200"/>
              <w:jc w:val="left"/>
              <w:rPr/>
            </w:pPr>
            <w:r>
              <w:rPr>
                <w:rFonts w:ascii="Arial" w:hAnsi="Arial"/>
                <w:b/>
                <w:color w:val="FFFFFF"/>
                <w:sz w:val="19"/>
              </w:rPr>
              <w:t>Elección Tecnológica</w:t>
            </w:r>
          </w:p>
        </w:tc>
        <w:tc>
          <w:tcPr>
            <w:tcW w:w="5291" w:type="dxa"/>
            <w:tcBorders/>
            <w:shd w:fill="1B365D"/>
          </w:tcPr>
          <w:p>
            <w:pPr>
              <w:pStyle w:val="Normal"/>
              <w:widowControl/>
              <w:bidi w:val="0"/>
              <w:spacing w:lineRule="auto" w:line="276" w:before="0" w:after="200"/>
              <w:jc w:val="left"/>
              <w:rPr/>
            </w:pPr>
            <w:r>
              <w:rPr>
                <w:rFonts w:ascii="Arial" w:hAnsi="Arial"/>
                <w:b/>
                <w:color w:val="FFFFFF"/>
                <w:sz w:val="19"/>
              </w:rPr>
              <w:t>Justificación Técnica</w:t>
            </w:r>
          </w:p>
        </w:tc>
      </w:tr>
      <w:tr>
        <w:trPr/>
        <w:tc>
          <w:tcPr>
            <w:tcW w:w="1704"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Frontend Core</w:t>
            </w:r>
          </w:p>
        </w:tc>
        <w:tc>
          <w:tcPr>
            <w:tcW w:w="260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Next.js 14+ (App Router) / React 19 / TypeScript 5.x</w:t>
            </w:r>
          </w:p>
        </w:tc>
        <w:tc>
          <w:tcPr>
            <w:tcW w:w="5291"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Renderizado híbrido (SSR para bootstrapping y CSR reactivo para drag &amp; drop). Tipado estricto de extremo a extremo e interfaz optimista.</w:t>
            </w:r>
          </w:p>
        </w:tc>
      </w:tr>
      <w:tr>
        <w:trPr/>
        <w:tc>
          <w:tcPr>
            <w:tcW w:w="1704"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Backend Core</w:t>
            </w:r>
          </w:p>
        </w:tc>
        <w:tc>
          <w:tcPr>
            <w:tcW w:w="260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NestJS 10.x / TypeScript 5.x</w:t>
            </w:r>
          </w:p>
        </w:tc>
        <w:tc>
          <w:tcPr>
            <w:tcW w:w="5291"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Arquitectura MVC Modular orientada a negocio. Inyección de dependencias desacoplada, validación estricta con class-validator y filtros de excepciones.</w:t>
            </w:r>
          </w:p>
        </w:tc>
      </w:tr>
      <w:tr>
        <w:trPr/>
        <w:tc>
          <w:tcPr>
            <w:tcW w:w="1704"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Persistencia / DB</w:t>
            </w:r>
          </w:p>
        </w:tc>
        <w:tc>
          <w:tcPr>
            <w:tcW w:w="260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PostgreSQL 16 + TypeORM</w:t>
            </w:r>
          </w:p>
        </w:tc>
        <w:tc>
          <w:tcPr>
            <w:tcW w:w="5291"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Motor relacional ACID. Claves primarias UUID v4, índices compuestos B-Tree multitenant (userId + modulo + fechaEjecucion) y transacciones atómicas.</w:t>
            </w:r>
          </w:p>
        </w:tc>
      </w:tr>
      <w:tr>
        <w:trPr/>
        <w:tc>
          <w:tcPr>
            <w:tcW w:w="1704"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Transporte API</w:t>
            </w:r>
          </w:p>
        </w:tc>
        <w:tc>
          <w:tcPr>
            <w:tcW w:w="260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API REST JSON Tipada sobre HTTP/S</w:t>
            </w:r>
          </w:p>
        </w:tc>
        <w:tc>
          <w:tcPr>
            <w:tcW w:w="5291"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Contratos inmutables basados en DTOs compartidos. Comunicación determinista desacoplada de la vista.</w:t>
            </w:r>
          </w:p>
        </w:tc>
      </w:tr>
      <w:tr>
        <w:trPr/>
        <w:tc>
          <w:tcPr>
            <w:tcW w:w="1704"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Autenticación</w:t>
            </w:r>
          </w:p>
        </w:tc>
        <w:tc>
          <w:tcPr>
            <w:tcW w:w="260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Cookies de Sesión HttpOnly / SameSite=Strict</w:t>
            </w:r>
          </w:p>
        </w:tc>
        <w:tc>
          <w:tcPr>
            <w:tcW w:w="5291"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Mitigación total de vulnerabilidades XSS (prohibido localStorage). Hashing unidireccional bcrypt con factor de coste 12.</w:t>
            </w:r>
          </w:p>
        </w:tc>
      </w:tr>
    </w:tbl>
    <w:p>
      <w:pPr>
        <w:pStyle w:val="Normal"/>
        <w:spacing w:before="0" w:after="80"/>
        <w:rPr/>
      </w:pPr>
      <w:r>
        <w:rPr/>
      </w:r>
    </w:p>
    <w:p>
      <w:pPr>
        <w:pStyle w:val="Normal"/>
        <w:keepNext w:val="true"/>
        <w:spacing w:before="280" w:after="120"/>
        <w:rPr/>
      </w:pPr>
      <w:r>
        <w:rPr>
          <w:rFonts w:ascii="Arial" w:hAnsi="Arial"/>
          <w:b/>
          <w:color w:val="1B365D"/>
          <w:sz w:val="26"/>
        </w:rPr>
        <w:t>3. Filosofía Constructiva y Principios Irrenunciables</w:t>
      </w:r>
    </w:p>
    <w:p>
      <w:pPr>
        <w:pStyle w:val="ListBullet"/>
        <w:numPr>
          <w:ilvl w:val="0"/>
          <w:numId w:val="1"/>
        </w:numPr>
        <w:spacing w:lineRule="auto" w:line="276" w:before="0" w:after="60"/>
        <w:contextualSpacing/>
        <w:rPr/>
      </w:pPr>
      <w:r>
        <w:rPr>
          <w:rFonts w:ascii="Arial" w:hAnsi="Arial"/>
          <w:b/>
          <w:color w:val="1E293B"/>
          <w:sz w:val="20"/>
        </w:rPr>
        <w:t xml:space="preserve">1. Soberanía Humana y Spec-Driven Development (SDD): </w:t>
      </w:r>
      <w:r>
        <w:rPr>
          <w:rFonts w:ascii="Arial" w:hAnsi="Arial"/>
          <w:color w:val="1E293B"/>
          <w:sz w:val="20"/>
        </w:rPr>
        <w:t>El código fuente es una transcripción física de la documentación formal aprobada. Queda terminantemente prohibido implementar comportamientos, campos o contratos no previstos en los Documentos Maestros.</w:t>
      </w:r>
    </w:p>
    <w:p>
      <w:pPr>
        <w:pStyle w:val="ListBullet"/>
        <w:numPr>
          <w:ilvl w:val="0"/>
          <w:numId w:val="1"/>
        </w:numPr>
        <w:spacing w:lineRule="auto" w:line="276" w:before="0" w:after="60"/>
        <w:contextualSpacing/>
        <w:rPr/>
      </w:pPr>
      <w:r>
        <w:rPr>
          <w:rFonts w:ascii="Arial" w:hAnsi="Arial"/>
          <w:b/>
          <w:color w:val="1E293B"/>
          <w:sz w:val="20"/>
        </w:rPr>
        <w:t xml:space="preserve">2. MVC Modular y Screaming Architecture: </w:t>
      </w:r>
      <w:r>
        <w:rPr>
          <w:rFonts w:ascii="Arial" w:hAnsi="Arial"/>
          <w:color w:val="1E293B"/>
          <w:sz w:val="20"/>
        </w:rPr>
        <w:t>El backend se organiza obligatoriamente por módulos de negocio (authentication, users, tasks, shopping, cleaning). Queda vetada la creación de directorios cajón de sastre como utils/, shared/ o helpers/.</w:t>
      </w:r>
    </w:p>
    <w:p>
      <w:pPr>
        <w:pStyle w:val="ListBullet"/>
        <w:numPr>
          <w:ilvl w:val="0"/>
          <w:numId w:val="1"/>
        </w:numPr>
        <w:spacing w:lineRule="auto" w:line="276" w:before="0" w:after="60"/>
        <w:contextualSpacing/>
        <w:rPr/>
      </w:pPr>
      <w:r>
        <w:rPr>
          <w:rFonts w:ascii="Arial" w:hAnsi="Arial"/>
          <w:b/>
          <w:color w:val="1E293B"/>
          <w:sz w:val="20"/>
        </w:rPr>
        <w:t xml:space="preserve">3. Aislamiento Absoluto de Tenant: </w:t>
      </w:r>
      <w:r>
        <w:rPr>
          <w:rFonts w:ascii="Arial" w:hAnsi="Arial"/>
          <w:color w:val="1E293B"/>
          <w:sz w:val="20"/>
        </w:rPr>
        <w:t>Ninguna consulta a base de datos puede omitir la cláusula de restricción por userId. La identidad se resuelve exclusivamente a partir de la sesión autenticada en el token verificado, jamás del cuerpo de la petición.</w:t>
      </w:r>
    </w:p>
    <w:p>
      <w:pPr>
        <w:pStyle w:val="ListBullet"/>
        <w:numPr>
          <w:ilvl w:val="0"/>
          <w:numId w:val="1"/>
        </w:numPr>
        <w:spacing w:lineRule="auto" w:line="276" w:before="0" w:after="60"/>
        <w:contextualSpacing/>
        <w:rPr/>
      </w:pPr>
      <w:r>
        <w:rPr>
          <w:rFonts w:ascii="Arial" w:hAnsi="Arial"/>
          <w:b/>
          <w:color w:val="1E293B"/>
          <w:sz w:val="20"/>
        </w:rPr>
        <w:t xml:space="preserve">4. Matriz Canónica de 5 Estados de Interfaz: </w:t>
      </w:r>
      <w:r>
        <w:rPr>
          <w:rFonts w:ascii="Arial" w:hAnsi="Arial"/>
          <w:color w:val="1E293B"/>
          <w:sz w:val="20"/>
        </w:rPr>
        <w:t>Toda vista, pantalla o componente con carga asíncrona debe implementar de forma exhaustiva los estados Loading, Empty, Error, Success y Offline.</w:t>
      </w:r>
    </w:p>
    <w:p>
      <w:pPr>
        <w:pStyle w:val="ListBullet"/>
        <w:numPr>
          <w:ilvl w:val="0"/>
          <w:numId w:val="1"/>
        </w:numPr>
        <w:spacing w:lineRule="auto" w:line="276" w:before="0" w:after="60"/>
        <w:contextualSpacing/>
        <w:rPr/>
      </w:pPr>
      <w:r>
        <w:rPr>
          <w:rFonts w:ascii="Arial" w:hAnsi="Arial"/>
          <w:b/>
          <w:color w:val="1E293B"/>
          <w:sz w:val="20"/>
        </w:rPr>
        <w:t xml:space="preserve">5. Calidad y Cobertura Honesta (TDD 100/80/0): </w:t>
      </w:r>
      <w:r>
        <w:rPr>
          <w:rFonts w:ascii="Arial" w:hAnsi="Arial"/>
          <w:color w:val="1E293B"/>
          <w:sz w:val="20"/>
        </w:rPr>
        <w:t>Cobertura del 100% en servicios de lógica de negocio y validación de frontera; 80% en controladores e integración de persistencia; 0% en maquetación visual pura.</w:t>
      </w:r>
    </w:p>
    <w:p>
      <w:pPr>
        <w:pStyle w:val="Normal"/>
        <w:keepNext w:val="true"/>
        <w:spacing w:before="280" w:after="120"/>
        <w:rPr/>
      </w:pPr>
      <w:r>
        <w:rPr>
          <w:rFonts w:ascii="Arial" w:hAnsi="Arial"/>
          <w:b/>
          <w:color w:val="1B365D"/>
          <w:sz w:val="26"/>
        </w:rPr>
        <w:t>4. Fronteras del Sistema (Alcance Innegociable)</w:t>
      </w:r>
    </w:p>
    <w:p>
      <w:pPr>
        <w:pStyle w:val="Normal"/>
        <w:keepNext w:val="true"/>
        <w:spacing w:before="200" w:after="80"/>
        <w:rPr/>
      </w:pPr>
      <w:r>
        <w:rPr>
          <w:rFonts w:ascii="Arial" w:hAnsi="Arial"/>
          <w:b/>
          <w:color w:val="4A6182"/>
          <w:sz w:val="23"/>
        </w:rPr>
        <w:t>Matriz de Alcance IN-SCOPE vs OUT-OF-SCOPE</w:t>
      </w:r>
    </w:p>
    <w:tbl>
      <w:tblPr>
        <w:tblW w:w="9600" w:type="dxa"/>
        <w:jc w:val="center"/>
        <w:tblInd w:w="0" w:type="dxa"/>
        <w:tblLayout w:type="fixed"/>
        <w:tblCellMar>
          <w:top w:w="120" w:type="dxa"/>
          <w:left w:w="150" w:type="dxa"/>
          <w:bottom w:w="120" w:type="dxa"/>
          <w:right w:w="150" w:type="dxa"/>
        </w:tblCellMar>
        <w:tblLook w:val="04a0" w:noHBand="0" w:noVBand="1" w:firstColumn="1" w:lastRow="0" w:lastColumn="0" w:firstRow="1"/>
      </w:tblPr>
      <w:tblGrid>
        <w:gridCol w:w="2659"/>
        <w:gridCol w:w="3745"/>
        <w:gridCol w:w="3196"/>
      </w:tblGrid>
      <w:tr>
        <w:trPr/>
        <w:tc>
          <w:tcPr>
            <w:tcW w:w="2659" w:type="dxa"/>
            <w:tcBorders/>
            <w:shd w:fill="1B365D"/>
          </w:tcPr>
          <w:p>
            <w:pPr>
              <w:pStyle w:val="Normal"/>
              <w:widowControl/>
              <w:bidi w:val="0"/>
              <w:spacing w:lineRule="auto" w:line="276" w:before="0" w:after="200"/>
              <w:jc w:val="left"/>
              <w:rPr/>
            </w:pPr>
            <w:r>
              <w:rPr>
                <w:rFonts w:ascii="Arial" w:hAnsi="Arial"/>
                <w:b/>
                <w:color w:val="FFFFFF"/>
                <w:sz w:val="19"/>
              </w:rPr>
              <w:t>Módulo / Subsistema</w:t>
            </w:r>
          </w:p>
        </w:tc>
        <w:tc>
          <w:tcPr>
            <w:tcW w:w="3745" w:type="dxa"/>
            <w:tcBorders/>
            <w:shd w:fill="1B365D"/>
          </w:tcPr>
          <w:p>
            <w:pPr>
              <w:pStyle w:val="Normal"/>
              <w:widowControl/>
              <w:bidi w:val="0"/>
              <w:spacing w:lineRule="auto" w:line="276" w:before="0" w:after="200"/>
              <w:jc w:val="left"/>
              <w:rPr/>
            </w:pPr>
            <w:r>
              <w:rPr>
                <w:rFonts w:ascii="Arial" w:hAnsi="Arial"/>
                <w:b/>
                <w:color w:val="FFFFFF"/>
                <w:sz w:val="19"/>
              </w:rPr>
              <w:t>IN-SCOPE (Incluido Taxativamente)</w:t>
            </w:r>
          </w:p>
        </w:tc>
        <w:tc>
          <w:tcPr>
            <w:tcW w:w="3196" w:type="dxa"/>
            <w:tcBorders/>
            <w:shd w:fill="1B365D"/>
          </w:tcPr>
          <w:p>
            <w:pPr>
              <w:pStyle w:val="Normal"/>
              <w:widowControl/>
              <w:bidi w:val="0"/>
              <w:spacing w:lineRule="auto" w:line="276" w:before="0" w:after="200"/>
              <w:jc w:val="left"/>
              <w:rPr/>
            </w:pPr>
            <w:r>
              <w:rPr>
                <w:rFonts w:ascii="Arial" w:hAnsi="Arial"/>
                <w:b/>
                <w:color w:val="FFFFFF"/>
                <w:sz w:val="19"/>
              </w:rPr>
              <w:t>OUT-OF-SCOPE (Excluido v1.0 MVP)</w:t>
            </w:r>
          </w:p>
        </w:tc>
      </w:tr>
      <w:tr>
        <w:trPr/>
        <w:tc>
          <w:tcPr>
            <w:tcW w:w="2659"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authentication</w:t>
            </w:r>
          </w:p>
        </w:tc>
        <w:tc>
          <w:tcPr>
            <w:tcW w:w="374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Registro con validación formal, login con rate limiting (5 intentos/15 min), logout con expiración de cookie y captura 401.</w:t>
            </w:r>
          </w:p>
        </w:tc>
        <w:tc>
          <w:tcPr>
            <w:tcW w:w="3196"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Recuperación de contraseña por email, OAuth social (Google, GitHub), autenticación 2FA/MFA.</w:t>
            </w:r>
          </w:p>
        </w:tc>
      </w:tr>
      <w:tr>
        <w:trPr/>
        <w:tc>
          <w:tcPr>
            <w:tcW w:w="2659"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users</w:t>
            </w:r>
          </w:p>
        </w:tc>
        <w:tc>
          <w:tcPr>
            <w:tcW w:w="374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Creación de usuario, almacenamiento seguro de hash de contraseña, aislamiento de datos por userId.</w:t>
            </w:r>
          </w:p>
        </w:tc>
        <w:tc>
          <w:tcPr>
            <w:tcW w:w="3196"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Edición de perfil, cambio de avatar, cambio de contraseña, roles/permisos administrativos.</w:t>
            </w:r>
          </w:p>
        </w:tc>
      </w:tr>
      <w:tr>
        <w:trPr/>
        <w:tc>
          <w:tcPr>
            <w:tcW w:w="2659"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tasks, shopping, cleaning</w:t>
            </w:r>
          </w:p>
        </w:tc>
        <w:tc>
          <w:tcPr>
            <w:tcW w:w="374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Motor común de items: CRUD completo, cambio completado/pendiente, wizard de creación en 3 pasos, menú contextual (...) y clic derecho, vaciado destructivo con modal crítico.</w:t>
            </w:r>
          </w:p>
        </w:tc>
        <w:tc>
          <w:tcPr>
            <w:tcW w:w="3196"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Subtareas anidadas, tareas recurrentes automáticas, asignación colaborativa a múltiples usuarios, adjuntos multimedia.</w:t>
            </w:r>
          </w:p>
        </w:tc>
      </w:tr>
      <w:tr>
        <w:trPr/>
        <w:tc>
          <w:tcPr>
            <w:tcW w:w="2659"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workspace &amp; hub</w:t>
            </w:r>
          </w:p>
        </w:tc>
        <w:tc>
          <w:tcPr>
            <w:tcW w:w="374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Layout 1/3 (Hub) y 2/3 (Calendario), acordeones independientes con scroll contenido (overflow-y: auto), contadores dinámicos en cabeceras.</w:t>
            </w:r>
          </w:p>
        </w:tc>
        <w:tc>
          <w:tcPr>
            <w:tcW w:w="3196"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Modos de visualización semanal/diaria, temas oscuros personalizables fuera del diseño oficial, widgets externos.</w:t>
            </w:r>
          </w:p>
        </w:tc>
      </w:tr>
      <w:tr>
        <w:trPr/>
        <w:tc>
          <w:tcPr>
            <w:tcW w:w="2659"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filters_and_sort</w:t>
            </w:r>
          </w:p>
        </w:tc>
        <w:tc>
          <w:tcPr>
            <w:tcW w:w="374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Filtro combinatorio AND estricto (Prioridad + Rango de Fechas + Estado) y reordenación multinivel en cliente con desempate determinista.</w:t>
            </w:r>
          </w:p>
        </w:tc>
        <w:tc>
          <w:tcPr>
            <w:tcW w:w="3196"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Búsqueda por texto libre mediante motor Full-Text Search, guardado de vistas de filtros personalizadas en base de datos.</w:t>
            </w:r>
          </w:p>
        </w:tc>
      </w:tr>
      <w:tr>
        <w:trPr/>
        <w:tc>
          <w:tcPr>
            <w:tcW w:w="2659"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calendar_sync</w:t>
            </w:r>
          </w:p>
        </w:tc>
        <w:tc>
          <w:tcPr>
            <w:tcW w:w="374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Asignación y cambio de fecha por Drag &amp; Drop, bloqueo de fechas pasadas, alerta de confirmación al mover tareas ya fechadas, arrastre masivo de lista de compra a un día, desasignación mediante clic derecho y salto de mes desde Hub.</w:t>
            </w:r>
          </w:p>
        </w:tc>
        <w:tc>
          <w:tcPr>
            <w:tcW w:w="3196"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Sincronización externa con Google Calendar / Outlook, recordatorios por notificación push, eventos recurrentes.</w:t>
            </w:r>
          </w:p>
        </w:tc>
      </w:tr>
    </w:tbl>
    <w:p>
      <w:pPr>
        <w:pStyle w:val="Normal"/>
        <w:spacing w:before="0" w:after="80"/>
        <w:rPr/>
      </w:pPr>
      <w:r>
        <w:rPr/>
      </w:r>
    </w:p>
    <w:p>
      <w:pPr>
        <w:pStyle w:val="Normal"/>
        <w:keepNext w:val="true"/>
        <w:spacing w:before="280" w:after="120"/>
        <w:rPr/>
      </w:pPr>
      <w:r>
        <w:rPr>
          <w:rFonts w:ascii="Arial" w:hAnsi="Arial"/>
          <w:b/>
          <w:color w:val="1B365D"/>
          <w:sz w:val="26"/>
        </w:rPr>
        <w:t>5. Requisitos No Funcionales Cuantitativos (FURPS+ / ISO 25010)</w:t>
      </w:r>
    </w:p>
    <w:p>
      <w:pPr>
        <w:pStyle w:val="ListBullet"/>
        <w:numPr>
          <w:ilvl w:val="0"/>
          <w:numId w:val="1"/>
        </w:numPr>
        <w:spacing w:lineRule="auto" w:line="276" w:before="0" w:after="60"/>
        <w:contextualSpacing/>
        <w:rPr/>
      </w:pPr>
      <w:r>
        <w:rPr>
          <w:rFonts w:ascii="Arial" w:hAnsi="Arial"/>
          <w:b/>
          <w:color w:val="1E293B"/>
          <w:sz w:val="20"/>
        </w:rPr>
        <w:t xml:space="preserve">Rendimiento: </w:t>
      </w:r>
      <w:r>
        <w:rPr>
          <w:rFonts w:ascii="Arial" w:hAnsi="Arial"/>
          <w:color w:val="1E293B"/>
          <w:sz w:val="20"/>
        </w:rPr>
        <w:t>Tiempo de respuesta de API REST p95 &lt; 150ms bajo carga normal. Renderizado inicial de Next.js (TTI) &lt; 1.2s. Reordenación y filtrado en memoria de cliente &lt; 16ms (60 FPS sin saltos perceptibles).</w:t>
      </w:r>
    </w:p>
    <w:p>
      <w:pPr>
        <w:pStyle w:val="ListBullet"/>
        <w:numPr>
          <w:ilvl w:val="0"/>
          <w:numId w:val="1"/>
        </w:numPr>
        <w:spacing w:lineRule="auto" w:line="276" w:before="0" w:after="60"/>
        <w:contextualSpacing/>
        <w:rPr/>
      </w:pPr>
      <w:r>
        <w:rPr>
          <w:rFonts w:ascii="Arial" w:hAnsi="Arial"/>
          <w:b/>
          <w:color w:val="1E293B"/>
          <w:sz w:val="20"/>
        </w:rPr>
        <w:t xml:space="preserve">Seguridad: </w:t>
      </w:r>
      <w:r>
        <w:rPr>
          <w:rFonts w:ascii="Arial" w:hAnsi="Arial"/>
          <w:color w:val="1E293B"/>
          <w:sz w:val="20"/>
        </w:rPr>
        <w:t>Línea base OWASP Top 10 cumplida. Sesiones en cookies HttpOnly/Secure/SameSite=Strict. Cifrado bcrypt (cost 12). Rate limiting de 5 intentos por ventana de 15 minutos en autenticación. Validación DTO con whitelist: true para descartar campos no declarados.</w:t>
      </w:r>
    </w:p>
    <w:p>
      <w:pPr>
        <w:pStyle w:val="ListBullet"/>
        <w:numPr>
          <w:ilvl w:val="0"/>
          <w:numId w:val="1"/>
        </w:numPr>
        <w:spacing w:lineRule="auto" w:line="276" w:before="0" w:after="60"/>
        <w:contextualSpacing/>
        <w:rPr/>
      </w:pPr>
      <w:r>
        <w:rPr>
          <w:rFonts w:ascii="Arial" w:hAnsi="Arial"/>
          <w:b/>
          <w:color w:val="1E293B"/>
          <w:sz w:val="20"/>
        </w:rPr>
        <w:t xml:space="preserve">Usabilidad: </w:t>
      </w:r>
      <w:r>
        <w:rPr>
          <w:rFonts w:ascii="Arial" w:hAnsi="Arial"/>
          <w:color w:val="1E293B"/>
          <w:sz w:val="20"/>
        </w:rPr>
        <w:t>Cumplimiento visual y de contraste WCAG AA. Navegación completa por teclado accesible. Operabilidad táctil/trackpad garantizada mediante alternativa (...) al clic derecho. Truncado elíptico en títulos largos sin rotura de layout.</w:t>
      </w:r>
    </w:p>
    <w:p>
      <w:pPr>
        <w:pStyle w:val="ListBullet"/>
        <w:numPr>
          <w:ilvl w:val="0"/>
          <w:numId w:val="1"/>
        </w:numPr>
        <w:spacing w:lineRule="auto" w:line="276" w:before="0" w:after="60"/>
        <w:contextualSpacing/>
        <w:rPr/>
      </w:pPr>
      <w:r>
        <w:rPr>
          <w:rFonts w:ascii="Arial" w:hAnsi="Arial"/>
          <w:b/>
          <w:color w:val="1E293B"/>
          <w:sz w:val="20"/>
        </w:rPr>
        <w:t xml:space="preserve">Fiabilidad y Resiliencia: </w:t>
      </w:r>
      <w:r>
        <w:rPr>
          <w:rFonts w:ascii="Arial" w:hAnsi="Arial"/>
          <w:color w:val="1E293B"/>
          <w:sz w:val="20"/>
        </w:rPr>
        <w:t>Manejo preventivo de desconexión (estado Offline): banner visible y bloqueo de mutaciones para evitar desincronización o pérdida de datos. Reversión automática (rollback) en memoria si una llamada de mutación falla por error 500.</w:t>
      </w:r>
    </w:p>
    <w:p>
      <w:pPr>
        <w:pStyle w:val="Normal"/>
        <w:keepNext w:val="true"/>
        <w:spacing w:before="280" w:after="120"/>
        <w:rPr/>
      </w:pPr>
      <w:r>
        <w:rPr>
          <w:rFonts w:ascii="Arial" w:hAnsi="Arial"/>
          <w:b/>
          <w:color w:val="1B365D"/>
          <w:sz w:val="26"/>
        </w:rPr>
        <w:t>6. Criterios de Aceptación Globales del Producto</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aceptable SI Y SOLO SI: </w:t>
      </w:r>
      <w:r>
        <w:rPr>
          <w:rFonts w:ascii="Arial" w:hAnsi="Arial"/>
          <w:color w:val="1E293B"/>
          <w:sz w:val="20"/>
        </w:rPr>
        <w:t>Todos los 16 procesos algorítmicos especificados en el zug-DSL se ejecutan sin desviaciones ni ambigüedades.</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aceptable SI Y SOLO SI: </w:t>
      </w:r>
      <w:r>
        <w:rPr>
          <w:rFonts w:ascii="Arial" w:hAnsi="Arial"/>
          <w:color w:val="1E293B"/>
          <w:sz w:val="20"/>
        </w:rPr>
        <w:t>La batería de tests automatizados (unitarios y de integración) alcanza una cobertura honesta del 100% en lógica de negocio y 80% en endpoints/controladores sin tests desactivados ni burlas triviales.</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aceptable SI Y SOLO SI: </w:t>
      </w:r>
      <w:r>
        <w:rPr>
          <w:rFonts w:ascii="Arial" w:hAnsi="Arial"/>
          <w:color w:val="1E293B"/>
          <w:sz w:val="20"/>
        </w:rPr>
        <w:t>El aislamiento de datos entre usuarios está formalmente verificado y auditado: ningún usuario puede leer, editar ni borrar datos de otro usuario bajo ninguna circunstancia.</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INVÁLIDA SI: </w:t>
      </w:r>
      <w:r>
        <w:rPr>
          <w:rFonts w:ascii="Arial" w:hAnsi="Arial"/>
          <w:color w:val="1E293B"/>
          <w:sz w:val="20"/>
        </w:rPr>
        <w:t>Existe cualquier ruta del backend que exponga o modifique datos de un usuario sin verificar la identidad del token de sesión.</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INVÁLIDA SI: </w:t>
      </w:r>
      <w:r>
        <w:rPr>
          <w:rFonts w:ascii="Arial" w:hAnsi="Arial"/>
          <w:color w:val="1E293B"/>
          <w:sz w:val="20"/>
        </w:rPr>
        <w:t>Se introducen directorios o archivos cajón de sastre genéricos (utils/, shared/, helpers/) violando Screaming Architecture.</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INVÁLIDA SI: </w:t>
      </w:r>
      <w:r>
        <w:rPr>
          <w:rFonts w:ascii="Arial" w:hAnsi="Arial"/>
          <w:color w:val="1E293B"/>
          <w:sz w:val="20"/>
        </w:rPr>
        <w:t>Se detectan tokens o credenciales almacenados en localStorage o sessionStorage del navegador.</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INVÁLIDA SI: </w:t>
      </w:r>
      <w:r>
        <w:rPr>
          <w:rFonts w:ascii="Arial" w:hAnsi="Arial"/>
          <w:color w:val="1E293B"/>
          <w:sz w:val="20"/>
        </w:rPr>
        <w:t>Se omiten cualquiera de los 5 estados canónicos (Loading, Empty, Error, Success, Offline) en componentes con operaciones asíncronas.</w:t>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Normal"/>
        <w:spacing w:before="0" w:after="40"/>
        <w:rPr/>
      </w:pPr>
      <w:r>
        <w:rPr>
          <w:rFonts w:ascii="Arial" w:hAnsi="Arial"/>
          <w:b/>
          <w:color w:val="1B365D"/>
          <w:sz w:val="44"/>
        </w:rPr>
        <w:t>CENTRA-T · SPECS GLOBALES</w:t>
      </w:r>
    </w:p>
    <w:p>
      <w:pPr>
        <w:pStyle w:val="Normal"/>
        <w:spacing w:before="0" w:after="280"/>
        <w:rPr/>
      </w:pPr>
      <w:r>
        <w:rPr>
          <w:rFonts w:ascii="Arial" w:hAnsi="Arial"/>
          <w:i/>
          <w:color w:val="64748B"/>
          <w:sz w:val="22"/>
        </w:rPr>
        <w:t>Documento Canónico 02 de 10 · Constitución Normativa y Quality Gates · Método zug</w:t>
      </w:r>
    </w:p>
    <w:p>
      <w:pPr>
        <w:pStyle w:val="Normal"/>
        <w:keepNext w:val="true"/>
        <w:spacing w:before="280" w:after="120"/>
        <w:rPr/>
      </w:pPr>
      <w:r>
        <w:rPr>
          <w:rFonts w:ascii="Arial" w:hAnsi="Arial"/>
          <w:b/>
          <w:color w:val="1B365D"/>
          <w:sz w:val="26"/>
        </w:rPr>
        <w:t>1. Propósito y Constitución Normativa</w:t>
      </w:r>
    </w:p>
    <w:p>
      <w:pPr>
        <w:pStyle w:val="Normal"/>
        <w:spacing w:lineRule="auto" w:line="276" w:before="0" w:after="80"/>
        <w:rPr/>
      </w:pPr>
      <w:r>
        <w:rPr>
          <w:rFonts w:ascii="Arial" w:hAnsi="Arial"/>
          <w:i w:val="false"/>
          <w:color w:val="1E293B"/>
          <w:sz w:val="20"/>
        </w:rPr>
        <w:t>El presente documento constituye la constitución normativa y técnica transversal de Centra-T. Define los contratos, restricciones de entorno, líneas base de seguridad y barreras de calidad automatizadas (Quality Gates) que rigen de forma obligatoria e incondicional sobre todos los módulos del sistema (authentication, users, tasks, shopping, cleaning, workspace y calendar_sync). Ninguna decisión local de implementación o librería externa puede revocar o contradecir las directrices aquí establecidas.</w:t>
      </w:r>
    </w:p>
    <w:p>
      <w:pPr>
        <w:pStyle w:val="Normal"/>
        <w:keepNext w:val="true"/>
        <w:spacing w:before="280" w:after="120"/>
        <w:rPr/>
      </w:pPr>
      <w:r>
        <w:rPr>
          <w:rFonts w:ascii="Arial" w:hAnsi="Arial"/>
          <w:b/>
          <w:color w:val="1B365D"/>
          <w:sz w:val="26"/>
        </w:rPr>
        <w:t>2. Jerarquía Documental y Autoridades</w:t>
      </w:r>
    </w:p>
    <w:p>
      <w:pPr>
        <w:pStyle w:val="Normal"/>
        <w:spacing w:lineRule="auto" w:line="276" w:before="0" w:after="80"/>
        <w:rPr/>
      </w:pPr>
      <w:r>
        <w:rPr>
          <w:rFonts w:ascii="Arial" w:hAnsi="Arial"/>
          <w:i w:val="false"/>
          <w:color w:val="1E293B"/>
          <w:sz w:val="20"/>
        </w:rPr>
        <w:t>Ante cualquier discrepancia, ambigüedad o conflicto interpretativo durante las fases de diseño, generación de FIAs, emisión de SPECs técnicas o implementación de código, se establece el siguiente orden estricto de prelación jurídica y técnica:</w:t>
      </w:r>
    </w:p>
    <w:tbl>
      <w:tblPr>
        <w:tblW w:w="9606" w:type="dxa"/>
        <w:jc w:val="center"/>
        <w:tblInd w:w="0" w:type="dxa"/>
        <w:tblLayout w:type="fixed"/>
        <w:tblCellMar>
          <w:top w:w="120" w:type="dxa"/>
          <w:left w:w="150" w:type="dxa"/>
          <w:bottom w:w="120" w:type="dxa"/>
          <w:right w:w="150" w:type="dxa"/>
        </w:tblCellMar>
        <w:tblLook w:val="04a0" w:noHBand="0" w:noVBand="1" w:firstColumn="1" w:lastRow="0" w:lastColumn="0" w:firstRow="1"/>
      </w:tblPr>
      <w:tblGrid>
        <w:gridCol w:w="3202"/>
        <w:gridCol w:w="3202"/>
        <w:gridCol w:w="3202"/>
      </w:tblGrid>
      <w:tr>
        <w:trPr/>
        <w:tc>
          <w:tcPr>
            <w:tcW w:w="3202" w:type="dxa"/>
            <w:tcBorders/>
            <w:shd w:fill="1B365D"/>
          </w:tcPr>
          <w:p>
            <w:pPr>
              <w:pStyle w:val="Normal"/>
              <w:widowControl/>
              <w:bidi w:val="0"/>
              <w:spacing w:lineRule="auto" w:line="276" w:before="0" w:after="200"/>
              <w:jc w:val="left"/>
              <w:rPr/>
            </w:pPr>
            <w:r>
              <w:rPr>
                <w:rFonts w:ascii="Arial" w:hAnsi="Arial"/>
                <w:b/>
                <w:color w:val="FFFFFF"/>
                <w:sz w:val="19"/>
              </w:rPr>
              <w:t>Rango</w:t>
            </w:r>
          </w:p>
        </w:tc>
        <w:tc>
          <w:tcPr>
            <w:tcW w:w="3202" w:type="dxa"/>
            <w:tcBorders/>
            <w:shd w:fill="1B365D"/>
          </w:tcPr>
          <w:p>
            <w:pPr>
              <w:pStyle w:val="Normal"/>
              <w:widowControl/>
              <w:bidi w:val="0"/>
              <w:spacing w:lineRule="auto" w:line="276" w:before="0" w:after="200"/>
              <w:jc w:val="left"/>
              <w:rPr/>
            </w:pPr>
            <w:r>
              <w:rPr>
                <w:rFonts w:ascii="Arial" w:hAnsi="Arial"/>
                <w:b/>
                <w:color w:val="FFFFFF"/>
                <w:sz w:val="19"/>
              </w:rPr>
              <w:t>Documento Canónico</w:t>
            </w:r>
          </w:p>
        </w:tc>
        <w:tc>
          <w:tcPr>
            <w:tcW w:w="3202" w:type="dxa"/>
            <w:tcBorders/>
            <w:shd w:fill="1B365D"/>
          </w:tcPr>
          <w:p>
            <w:pPr>
              <w:pStyle w:val="Normal"/>
              <w:widowControl/>
              <w:bidi w:val="0"/>
              <w:spacing w:lineRule="auto" w:line="276" w:before="0" w:after="200"/>
              <w:jc w:val="left"/>
              <w:rPr/>
            </w:pPr>
            <w:r>
              <w:rPr>
                <w:rFonts w:ascii="Arial" w:hAnsi="Arial"/>
                <w:b/>
                <w:color w:val="FFFFFF"/>
                <w:sz w:val="19"/>
              </w:rPr>
              <w:t>Ámbito de Autoridad</w:t>
            </w:r>
          </w:p>
        </w:tc>
      </w:tr>
      <w:tr>
        <w:trPr/>
        <w:tc>
          <w:tcPr>
            <w:tcW w:w="3202" w:type="dxa"/>
            <w:tcBorders/>
            <w:shd w:fill="FFFFFF"/>
            <w:tcMar>
              <w:top w:w="90" w:type="dxa"/>
              <w:left w:w="140" w:type="dxa"/>
              <w:bottom w:w="90" w:type="dxa"/>
              <w:right w:w="140" w:type="dxa"/>
            </w:tcMar>
          </w:tcPr>
          <w:p>
            <w:pPr>
              <w:pStyle w:val="Normal"/>
              <w:widowControl/>
              <w:bidi w:val="0"/>
              <w:spacing w:lineRule="auto" w:line="276" w:before="0" w:after="200"/>
              <w:jc w:val="left"/>
              <w:rPr/>
            </w:pPr>
            <w:r>
              <w:rPr>
                <w:rFonts w:ascii="Arial" w:hAnsi="Arial"/>
                <w:b/>
                <w:color w:val="1E293B"/>
                <w:sz w:val="17"/>
              </w:rPr>
              <w:t>Nivel 1</w:t>
            </w:r>
          </w:p>
        </w:tc>
        <w:tc>
          <w:tcPr>
            <w:tcW w:w="3202" w:type="dxa"/>
            <w:tcBorders/>
            <w:shd w:fill="FFFFFF"/>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01_DOCUMENTO_MAESTRO</w:t>
            </w:r>
          </w:p>
        </w:tc>
        <w:tc>
          <w:tcPr>
            <w:tcW w:w="3202" w:type="dxa"/>
            <w:tcBorders/>
            <w:shd w:fill="FFFFFF"/>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Autoridad Suprema. Define identidad, alcance innegociable, stack y criterios de aceptación globales.</w:t>
            </w:r>
          </w:p>
        </w:tc>
      </w:tr>
      <w:tr>
        <w:trPr/>
        <w:tc>
          <w:tcPr>
            <w:tcW w:w="3202" w:type="dxa"/>
            <w:tcBorders/>
            <w:shd w:fill="F8FAFC"/>
            <w:tcMar>
              <w:top w:w="90" w:type="dxa"/>
              <w:left w:w="140" w:type="dxa"/>
              <w:bottom w:w="90" w:type="dxa"/>
              <w:right w:w="140" w:type="dxa"/>
            </w:tcMar>
          </w:tcPr>
          <w:p>
            <w:pPr>
              <w:pStyle w:val="Normal"/>
              <w:widowControl/>
              <w:bidi w:val="0"/>
              <w:spacing w:lineRule="auto" w:line="276" w:before="0" w:after="200"/>
              <w:jc w:val="left"/>
              <w:rPr/>
            </w:pPr>
            <w:r>
              <w:rPr>
                <w:rFonts w:ascii="Arial" w:hAnsi="Arial"/>
                <w:b/>
                <w:color w:val="1E293B"/>
                <w:sz w:val="17"/>
              </w:rPr>
              <w:t>Nivel 2</w:t>
            </w:r>
          </w:p>
        </w:tc>
        <w:tc>
          <w:tcPr>
            <w:tcW w:w="3202" w:type="dxa"/>
            <w:tcBorders/>
            <w:shd w:fill="F8FAFC"/>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02_SPECS_GLOBALES</w:t>
            </w:r>
          </w:p>
        </w:tc>
        <w:tc>
          <w:tcPr>
            <w:tcW w:w="3202" w:type="dxa"/>
            <w:tcBorders/>
            <w:shd w:fill="F8FAFC"/>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Constitución Normativa. Rige variables de entorno, seguridad, linters y Quality Gates.</w:t>
            </w:r>
          </w:p>
        </w:tc>
      </w:tr>
      <w:tr>
        <w:trPr/>
        <w:tc>
          <w:tcPr>
            <w:tcW w:w="3202" w:type="dxa"/>
            <w:tcBorders/>
            <w:shd w:fill="FFFFFF"/>
            <w:tcMar>
              <w:top w:w="90" w:type="dxa"/>
              <w:left w:w="140" w:type="dxa"/>
              <w:bottom w:w="90" w:type="dxa"/>
              <w:right w:w="140" w:type="dxa"/>
            </w:tcMar>
          </w:tcPr>
          <w:p>
            <w:pPr>
              <w:pStyle w:val="Normal"/>
              <w:widowControl/>
              <w:bidi w:val="0"/>
              <w:spacing w:lineRule="auto" w:line="276" w:before="0" w:after="200"/>
              <w:jc w:val="left"/>
              <w:rPr/>
            </w:pPr>
            <w:r>
              <w:rPr>
                <w:rFonts w:ascii="Arial" w:hAnsi="Arial"/>
                <w:b/>
                <w:color w:val="1E293B"/>
                <w:sz w:val="17"/>
              </w:rPr>
              <w:t>Nivel 3</w:t>
            </w:r>
          </w:p>
        </w:tc>
        <w:tc>
          <w:tcPr>
            <w:tcW w:w="3202" w:type="dxa"/>
            <w:tcBorders/>
            <w:shd w:fill="FFFFFF"/>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03_DOMAIN_MODEL</w:t>
            </w:r>
          </w:p>
        </w:tc>
        <w:tc>
          <w:tcPr>
            <w:tcW w:w="3202" w:type="dxa"/>
            <w:tcBorders/>
            <w:shd w:fill="FFFFFF"/>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Ley de Negocio. Entidades, Value Objects, invariantes y reglas de dominio inmutables.</w:t>
            </w:r>
          </w:p>
        </w:tc>
      </w:tr>
      <w:tr>
        <w:trPr/>
        <w:tc>
          <w:tcPr>
            <w:tcW w:w="3202" w:type="dxa"/>
            <w:tcBorders/>
            <w:shd w:fill="F8FAFC"/>
            <w:tcMar>
              <w:top w:w="90" w:type="dxa"/>
              <w:left w:w="140" w:type="dxa"/>
              <w:bottom w:w="90" w:type="dxa"/>
              <w:right w:w="140" w:type="dxa"/>
            </w:tcMar>
          </w:tcPr>
          <w:p>
            <w:pPr>
              <w:pStyle w:val="Normal"/>
              <w:widowControl/>
              <w:bidi w:val="0"/>
              <w:spacing w:lineRule="auto" w:line="276" w:before="0" w:after="200"/>
              <w:jc w:val="left"/>
              <w:rPr/>
            </w:pPr>
            <w:r>
              <w:rPr>
                <w:rFonts w:ascii="Arial" w:hAnsi="Arial"/>
                <w:b/>
                <w:color w:val="1E293B"/>
                <w:sz w:val="17"/>
              </w:rPr>
              <w:t>Nivel 4</w:t>
            </w:r>
          </w:p>
        </w:tc>
        <w:tc>
          <w:tcPr>
            <w:tcW w:w="3202" w:type="dxa"/>
            <w:tcBorders/>
            <w:shd w:fill="F8FAFC"/>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05_MODULE_MAP</w:t>
            </w:r>
          </w:p>
        </w:tc>
        <w:tc>
          <w:tcPr>
            <w:tcW w:w="3202" w:type="dxa"/>
            <w:tcBorders/>
            <w:shd w:fill="F8FAFC"/>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Topografía Física. Árbol de directorios, límites entre módulos y aislamiento de archivos.</w:t>
            </w:r>
          </w:p>
        </w:tc>
      </w:tr>
      <w:tr>
        <w:trPr/>
        <w:tc>
          <w:tcPr>
            <w:tcW w:w="3202" w:type="dxa"/>
            <w:tcBorders/>
            <w:shd w:fill="FFFFFF"/>
            <w:tcMar>
              <w:top w:w="90" w:type="dxa"/>
              <w:left w:w="140" w:type="dxa"/>
              <w:bottom w:w="90" w:type="dxa"/>
              <w:right w:w="140" w:type="dxa"/>
            </w:tcMar>
          </w:tcPr>
          <w:p>
            <w:pPr>
              <w:pStyle w:val="Normal"/>
              <w:widowControl/>
              <w:bidi w:val="0"/>
              <w:spacing w:lineRule="auto" w:line="276" w:before="0" w:after="200"/>
              <w:jc w:val="left"/>
              <w:rPr/>
            </w:pPr>
            <w:r>
              <w:rPr>
                <w:rFonts w:ascii="Arial" w:hAnsi="Arial"/>
                <w:b/>
                <w:color w:val="1E293B"/>
                <w:sz w:val="17"/>
              </w:rPr>
              <w:t>Nivel 5</w:t>
            </w:r>
          </w:p>
        </w:tc>
        <w:tc>
          <w:tcPr>
            <w:tcW w:w="3202" w:type="dxa"/>
            <w:tcBorders/>
            <w:shd w:fill="FFFFFF"/>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SUITE UI (06 al 10)</w:t>
            </w:r>
          </w:p>
        </w:tc>
        <w:tc>
          <w:tcPr>
            <w:tcW w:w="3202" w:type="dxa"/>
            <w:tcBorders/>
            <w:shd w:fill="FFFFFF"/>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Especificaciones de Interfaz. Layout, componentes, tokens visuales y matrices de estado UI.</w:t>
            </w:r>
          </w:p>
        </w:tc>
      </w:tr>
      <w:tr>
        <w:trPr/>
        <w:tc>
          <w:tcPr>
            <w:tcW w:w="3202" w:type="dxa"/>
            <w:tcBorders/>
            <w:shd w:fill="F8FAFC"/>
            <w:tcMar>
              <w:top w:w="90" w:type="dxa"/>
              <w:left w:w="140" w:type="dxa"/>
              <w:bottom w:w="90" w:type="dxa"/>
              <w:right w:w="140" w:type="dxa"/>
            </w:tcMar>
          </w:tcPr>
          <w:p>
            <w:pPr>
              <w:pStyle w:val="Normal"/>
              <w:widowControl/>
              <w:bidi w:val="0"/>
              <w:spacing w:lineRule="auto" w:line="276" w:before="0" w:after="200"/>
              <w:jc w:val="left"/>
              <w:rPr/>
            </w:pPr>
            <w:r>
              <w:rPr>
                <w:rFonts w:ascii="Arial" w:hAnsi="Arial"/>
                <w:b/>
                <w:color w:val="1E293B"/>
                <w:sz w:val="17"/>
              </w:rPr>
              <w:t>Nivel 6</w:t>
            </w:r>
          </w:p>
        </w:tc>
        <w:tc>
          <w:tcPr>
            <w:tcW w:w="3202" w:type="dxa"/>
            <w:tcBorders/>
            <w:shd w:fill="F8FAFC"/>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ÍNDICES Y FIAs TÁCTICAS</w:t>
            </w:r>
          </w:p>
        </w:tc>
        <w:tc>
          <w:tcPr>
            <w:tcW w:w="3202" w:type="dxa"/>
            <w:tcBorders/>
            <w:shd w:fill="F8FAFC"/>
            <w:tcMar>
              <w:top w:w="90" w:type="dxa"/>
              <w:left w:w="140" w:type="dxa"/>
              <w:bottom w:w="90" w:type="dxa"/>
              <w:right w:w="140" w:type="dxa"/>
            </w:tcMar>
          </w:tcPr>
          <w:p>
            <w:pPr>
              <w:pStyle w:val="Normal"/>
              <w:widowControl/>
              <w:bidi w:val="0"/>
              <w:spacing w:lineRule="auto" w:line="276" w:before="0" w:after="200"/>
              <w:jc w:val="left"/>
              <w:rPr/>
            </w:pPr>
            <w:r>
              <w:rPr>
                <w:rFonts w:ascii="Arial" w:hAnsi="Arial"/>
                <w:color w:val="1E293B"/>
                <w:sz w:val="17"/>
              </w:rPr>
              <w:t>Planes Ejecutables. Trazabilidad atómica TDD y contratos de implementación física.</w:t>
            </w:r>
          </w:p>
        </w:tc>
      </w:tr>
    </w:tbl>
    <w:p>
      <w:pPr>
        <w:pStyle w:val="Normal"/>
        <w:spacing w:before="0" w:after="80"/>
        <w:rPr/>
      </w:pPr>
      <w:r>
        <w:rPr/>
      </w:r>
    </w:p>
    <w:p>
      <w:pPr>
        <w:pStyle w:val="Normal"/>
        <w:keepNext w:val="true"/>
        <w:spacing w:before="280" w:after="120"/>
        <w:rPr/>
      </w:pPr>
      <w:r>
        <w:rPr>
          <w:rFonts w:ascii="Arial" w:hAnsi="Arial"/>
          <w:b/>
          <w:color w:val="1B365D"/>
          <w:sz w:val="26"/>
        </w:rPr>
        <w:t>3. Desglose del Alcance por Subsistemas Troncales</w:t>
      </w:r>
    </w:p>
    <w:p>
      <w:pPr>
        <w:pStyle w:val="ListBullet"/>
        <w:numPr>
          <w:ilvl w:val="0"/>
          <w:numId w:val="1"/>
        </w:numPr>
        <w:spacing w:lineRule="auto" w:line="276" w:before="0" w:after="60"/>
        <w:contextualSpacing/>
        <w:rPr/>
      </w:pPr>
      <w:r>
        <w:rPr>
          <w:rFonts w:ascii="Arial" w:hAnsi="Arial"/>
          <w:b/>
          <w:color w:val="1E293B"/>
          <w:sz w:val="20"/>
        </w:rPr>
        <w:t xml:space="preserve">Subsistema authentication (Backend): </w:t>
      </w:r>
      <w:r>
        <w:rPr>
          <w:rFonts w:ascii="Arial" w:hAnsi="Arial"/>
          <w:color w:val="1E293B"/>
          <w:sz w:val="20"/>
        </w:rPr>
        <w:t>Responsable exclusivo de la emisión, verificación y revocación de sesiones. Gestiona contraseñas cifradas, limitación de peticiones (Throttler) y emite cookies de sesión HttpOnly. Expone endpoints /api/v1/authentication/login y /api/v1/authentication/logout.</w:t>
      </w:r>
    </w:p>
    <w:p>
      <w:pPr>
        <w:pStyle w:val="ListBullet"/>
        <w:numPr>
          <w:ilvl w:val="0"/>
          <w:numId w:val="1"/>
        </w:numPr>
        <w:spacing w:lineRule="auto" w:line="276" w:before="0" w:after="60"/>
        <w:contextualSpacing/>
        <w:rPr/>
      </w:pPr>
      <w:r>
        <w:rPr>
          <w:rFonts w:ascii="Arial" w:hAnsi="Arial"/>
          <w:b/>
          <w:color w:val="1E293B"/>
          <w:sz w:val="20"/>
        </w:rPr>
        <w:t xml:space="preserve">Subsistema users (Backend): </w:t>
      </w:r>
      <w:r>
        <w:rPr>
          <w:rFonts w:ascii="Arial" w:hAnsi="Arial"/>
          <w:color w:val="1E293B"/>
          <w:sz w:val="20"/>
        </w:rPr>
        <w:t>Responsable de la persistencia de usuarios, aislamiento de tenant y comprobación de unicidad de emails. Expone endpoint /api/v1/users (POST) para el registro y resuelve la identidad del usuario a partir del token de sesión.</w:t>
      </w:r>
    </w:p>
    <w:p>
      <w:pPr>
        <w:pStyle w:val="ListBullet"/>
        <w:numPr>
          <w:ilvl w:val="0"/>
          <w:numId w:val="1"/>
        </w:numPr>
        <w:spacing w:lineRule="auto" w:line="276" w:before="0" w:after="60"/>
        <w:contextualSpacing/>
        <w:rPr/>
      </w:pPr>
      <w:r>
        <w:rPr>
          <w:rFonts w:ascii="Arial" w:hAnsi="Arial"/>
          <w:b/>
          <w:color w:val="1E293B"/>
          <w:sz w:val="20"/>
        </w:rPr>
        <w:t xml:space="preserve">Subsistemas tasks, shopping, cleaning (Backend): </w:t>
      </w:r>
      <w:r>
        <w:rPr>
          <w:rFonts w:ascii="Arial" w:hAnsi="Arial"/>
          <w:color w:val="1E293B"/>
          <w:sz w:val="20"/>
        </w:rPr>
        <w:t>Gestionan de forma desacoplada pero homogénea los tres dominios de elementos domésticos. Implementan CRUD, cambios de estado (completado/pendiente), asignación de fecha y vaciado masivo bajo estricto aislamiento por userId.</w:t>
      </w:r>
    </w:p>
    <w:p>
      <w:pPr>
        <w:pStyle w:val="ListBullet"/>
        <w:numPr>
          <w:ilvl w:val="0"/>
          <w:numId w:val="1"/>
        </w:numPr>
        <w:spacing w:lineRule="auto" w:line="276" w:before="0" w:after="60"/>
        <w:contextualSpacing/>
        <w:rPr/>
      </w:pPr>
      <w:r>
        <w:rPr>
          <w:rFonts w:ascii="Arial" w:hAnsi="Arial"/>
          <w:b/>
          <w:color w:val="1E293B"/>
          <w:sz w:val="20"/>
        </w:rPr>
        <w:t xml:space="preserve">Subsistema workspace &amp; hub (Frontend): </w:t>
      </w:r>
      <w:r>
        <w:rPr>
          <w:rFonts w:ascii="Arial" w:hAnsi="Arial"/>
          <w:color w:val="1E293B"/>
          <w:sz w:val="20"/>
        </w:rPr>
        <w:t>Implementa el layout 1/3 (Hub) y 2/3 (Calendario) en Next.js. El Hub contiene los tres acordeones independientes con contadores reactivos. El Calendario gestiona la navegación de meses y días con indicadores de tareas.</w:t>
      </w:r>
    </w:p>
    <w:p>
      <w:pPr>
        <w:pStyle w:val="ListBullet"/>
        <w:numPr>
          <w:ilvl w:val="0"/>
          <w:numId w:val="1"/>
        </w:numPr>
        <w:spacing w:lineRule="auto" w:line="276" w:before="0" w:after="60"/>
        <w:contextualSpacing/>
        <w:rPr/>
      </w:pPr>
      <w:r>
        <w:rPr>
          <w:rFonts w:ascii="Arial" w:hAnsi="Arial"/>
          <w:b/>
          <w:color w:val="1E293B"/>
          <w:sz w:val="20"/>
        </w:rPr>
        <w:t xml:space="preserve">Subsistema filters_and_sort (Frontend): </w:t>
      </w:r>
      <w:r>
        <w:rPr>
          <w:rFonts w:ascii="Arial" w:hAnsi="Arial"/>
          <w:color w:val="1E293B"/>
          <w:sz w:val="20"/>
        </w:rPr>
        <w:t>Motor reactivo en cliente (Next.js) que ejecuta la combinación lógica AND de filtros (Prioridad + Rango de Fechas + Estado) y la reordenación multinivel determinista con resolución de empates.</w:t>
      </w:r>
    </w:p>
    <w:p>
      <w:pPr>
        <w:pStyle w:val="ListBullet"/>
        <w:numPr>
          <w:ilvl w:val="0"/>
          <w:numId w:val="1"/>
        </w:numPr>
        <w:spacing w:lineRule="auto" w:line="276" w:before="0" w:after="60"/>
        <w:contextualSpacing/>
        <w:rPr/>
      </w:pPr>
      <w:r>
        <w:rPr>
          <w:rFonts w:ascii="Arial" w:hAnsi="Arial"/>
          <w:b/>
          <w:color w:val="1E293B"/>
          <w:sz w:val="20"/>
        </w:rPr>
        <w:t xml:space="preserve">Subsistema calendar_sync (Frontend / Backend): </w:t>
      </w:r>
      <w:r>
        <w:rPr>
          <w:rFonts w:ascii="Arial" w:hAnsi="Arial"/>
          <w:color w:val="1E293B"/>
          <w:sz w:val="20"/>
        </w:rPr>
        <w:t>Coordina la sincronización bidireccional entre el Hub y el Calendario. Soporta Drag &amp; Drop con bloqueo de fechas pasadas, confirmación modal al mover tareas ya fechadas y arrastre masivo de la lista de compra.</w:t>
      </w:r>
    </w:p>
    <w:p>
      <w:pPr>
        <w:pStyle w:val="Normal"/>
        <w:keepNext w:val="true"/>
        <w:spacing w:before="280" w:after="120"/>
        <w:rPr/>
      </w:pPr>
      <w:r>
        <w:rPr>
          <w:rFonts w:ascii="Arial" w:hAnsi="Arial"/>
          <w:b/>
          <w:color w:val="1B365D"/>
          <w:sz w:val="26"/>
        </w:rPr>
        <w:t>4. Gestión Estricta de Variables de Entorno (Fail-Fast al Arranque)</w:t>
      </w:r>
    </w:p>
    <w:p>
      <w:pPr>
        <w:pStyle w:val="Normal"/>
        <w:spacing w:lineRule="auto" w:line="276" w:before="0" w:after="80"/>
        <w:rPr/>
      </w:pPr>
      <w:r>
        <w:rPr>
          <w:rFonts w:ascii="Arial" w:hAnsi="Arial"/>
          <w:i w:val="false"/>
          <w:color w:val="1E293B"/>
          <w:sz w:val="20"/>
        </w:rPr>
        <w:t>Centra-T aplica una política estricta de validación Fail-Fast: al arrancar el servidor backend o la aplicación frontend, se evalúa el esquema de variables de entorno mediante un validador fuertemente tipado (Zod / Joi / class-validator). Si falta una sola variable requerida o su formato no es válido, el proceso se aborta inmediatamente con código de salida 1 (exit code 1) imprimiendo el error exacto en consola, impidiendo arrancar en estados corruptos.</w:t>
      </w:r>
    </w:p>
    <w:p>
      <w:pPr>
        <w:pStyle w:val="Normal"/>
        <w:keepNext w:val="true"/>
        <w:spacing w:before="200" w:after="80"/>
        <w:rPr/>
      </w:pPr>
      <w:r>
        <w:rPr>
          <w:rFonts w:ascii="Arial" w:hAnsi="Arial"/>
          <w:b/>
          <w:color w:val="4A6182"/>
          <w:sz w:val="23"/>
        </w:rPr>
        <w:t>Inventario Oficial de Variables de Entorno (Backend NestJS)</w:t>
      </w:r>
    </w:p>
    <w:tbl>
      <w:tblPr>
        <w:tblW w:w="9605"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1921"/>
        <w:gridCol w:w="1921"/>
        <w:gridCol w:w="1921"/>
        <w:gridCol w:w="1921"/>
        <w:gridCol w:w="1921"/>
      </w:tblGrid>
      <w:tr>
        <w:trPr/>
        <w:tc>
          <w:tcPr>
            <w:tcW w:w="1921" w:type="dxa"/>
            <w:tcBorders/>
            <w:shd w:fill="1B365D"/>
          </w:tcPr>
          <w:p>
            <w:pPr>
              <w:pStyle w:val="Normal"/>
              <w:widowControl/>
              <w:bidi w:val="0"/>
              <w:spacing w:lineRule="auto" w:line="276" w:before="0" w:after="200"/>
              <w:jc w:val="left"/>
              <w:rPr/>
            </w:pPr>
            <w:r>
              <w:rPr>
                <w:rFonts w:ascii="Arial" w:hAnsi="Arial"/>
                <w:b/>
                <w:color w:val="FFFFFF"/>
                <w:sz w:val="18"/>
              </w:rPr>
              <w:t>Variable</w:t>
            </w:r>
          </w:p>
        </w:tc>
        <w:tc>
          <w:tcPr>
            <w:tcW w:w="1921" w:type="dxa"/>
            <w:tcBorders/>
            <w:shd w:fill="1B365D"/>
          </w:tcPr>
          <w:p>
            <w:pPr>
              <w:pStyle w:val="Normal"/>
              <w:widowControl/>
              <w:bidi w:val="0"/>
              <w:spacing w:lineRule="auto" w:line="276" w:before="0" w:after="200"/>
              <w:jc w:val="left"/>
              <w:rPr/>
            </w:pPr>
            <w:r>
              <w:rPr>
                <w:rFonts w:ascii="Arial" w:hAnsi="Arial"/>
                <w:b/>
                <w:color w:val="FFFFFF"/>
                <w:sz w:val="18"/>
              </w:rPr>
              <w:t>Tipo</w:t>
            </w:r>
          </w:p>
        </w:tc>
        <w:tc>
          <w:tcPr>
            <w:tcW w:w="1921" w:type="dxa"/>
            <w:tcBorders/>
            <w:shd w:fill="1B365D"/>
          </w:tcPr>
          <w:p>
            <w:pPr>
              <w:pStyle w:val="Normal"/>
              <w:widowControl/>
              <w:bidi w:val="0"/>
              <w:spacing w:lineRule="auto" w:line="276" w:before="0" w:after="200"/>
              <w:jc w:val="left"/>
              <w:rPr/>
            </w:pPr>
            <w:r>
              <w:rPr>
                <w:rFonts w:ascii="Arial" w:hAnsi="Arial"/>
                <w:b/>
                <w:color w:val="FFFFFF"/>
                <w:sz w:val="18"/>
              </w:rPr>
              <w:t>Req</w:t>
            </w:r>
          </w:p>
        </w:tc>
        <w:tc>
          <w:tcPr>
            <w:tcW w:w="1921" w:type="dxa"/>
            <w:tcBorders/>
            <w:shd w:fill="1B365D"/>
          </w:tcPr>
          <w:p>
            <w:pPr>
              <w:pStyle w:val="Normal"/>
              <w:widowControl/>
              <w:bidi w:val="0"/>
              <w:spacing w:lineRule="auto" w:line="276" w:before="0" w:after="200"/>
              <w:jc w:val="left"/>
              <w:rPr/>
            </w:pPr>
            <w:r>
              <w:rPr>
                <w:rFonts w:ascii="Arial" w:hAnsi="Arial"/>
                <w:b/>
                <w:color w:val="FFFFFF"/>
                <w:sz w:val="18"/>
              </w:rPr>
              <w:t>Propósito Técnico</w:t>
            </w:r>
          </w:p>
        </w:tc>
        <w:tc>
          <w:tcPr>
            <w:tcW w:w="1921" w:type="dxa"/>
            <w:tcBorders/>
            <w:shd w:fill="1B365D"/>
          </w:tcPr>
          <w:p>
            <w:pPr>
              <w:pStyle w:val="Normal"/>
              <w:widowControl/>
              <w:bidi w:val="0"/>
              <w:spacing w:lineRule="auto" w:line="276" w:before="0" w:after="200"/>
              <w:jc w:val="left"/>
              <w:rPr/>
            </w:pPr>
            <w:r>
              <w:rPr>
                <w:rFonts w:ascii="Arial" w:hAnsi="Arial"/>
                <w:b/>
                <w:color w:val="FFFFFF"/>
                <w:sz w:val="18"/>
              </w:rPr>
              <w:t>Valor Ejemplo</w:t>
            </w:r>
          </w:p>
        </w:tc>
      </w:tr>
      <w:tr>
        <w:trPr/>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NODE_ENV</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Entorno de ejecución (development / test / production)</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production</w:t>
            </w:r>
          </w:p>
        </w:tc>
      </w:tr>
      <w:tr>
        <w:trPr/>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PORT</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number</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Puerto de escucha del servidor HTTP NestJS</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4000</w:t>
            </w:r>
          </w:p>
        </w:tc>
      </w:tr>
      <w:tr>
        <w:trPr/>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DATABASE_HOST</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Host del servidor PostgreSQL</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localhost</w:t>
            </w:r>
          </w:p>
        </w:tc>
      </w:tr>
      <w:tr>
        <w:trPr/>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DATABASE_PORT</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number</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Puerto de conexión de base de datos</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5432</w:t>
            </w:r>
          </w:p>
        </w:tc>
      </w:tr>
      <w:tr>
        <w:trPr/>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DATABASE_USER</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Usuario con permisos sobre la base de datos</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centrat_app</w:t>
            </w:r>
          </w:p>
        </w:tc>
      </w:tr>
      <w:tr>
        <w:trPr/>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DATABASE_PASSWORD</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Contraseña segura de base de datos</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Pass_Segura_2026!</w:t>
            </w:r>
          </w:p>
        </w:tc>
      </w:tr>
      <w:tr>
        <w:trPr/>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DATABASE_NAME</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Nombre de la base de datos relacional</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centrat_prod</w:t>
            </w:r>
          </w:p>
        </w:tc>
      </w:tr>
      <w:tr>
        <w:trPr/>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SESSION_SECRET</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Secreto criptográfico para firma de cookies JWT (mín 64 chars)</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sec_9a8f...b7c2</w:t>
            </w:r>
          </w:p>
        </w:tc>
      </w:tr>
      <w:tr>
        <w:trPr/>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SESSION_TTL_HOURS</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number</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Tiempo de vida de la sesión de usuario en horas</w:t>
            </w:r>
          </w:p>
        </w:tc>
        <w:tc>
          <w:tcPr>
            <w:tcW w:w="1921"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24</w:t>
            </w:r>
          </w:p>
        </w:tc>
      </w:tr>
      <w:tr>
        <w:trPr/>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CORS_ORIGIN</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URL permitida para peticiones cruzadas (Frontend URL)</w:t>
            </w:r>
          </w:p>
        </w:tc>
        <w:tc>
          <w:tcPr>
            <w:tcW w:w="1921"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http://localhost:3000</w:t>
            </w:r>
          </w:p>
        </w:tc>
      </w:tr>
    </w:tbl>
    <w:p>
      <w:pPr>
        <w:pStyle w:val="Normal"/>
        <w:spacing w:before="0" w:after="80"/>
        <w:rPr/>
      </w:pPr>
      <w:r>
        <w:rPr/>
      </w:r>
    </w:p>
    <w:p>
      <w:pPr>
        <w:pStyle w:val="Normal"/>
        <w:keepNext w:val="true"/>
        <w:spacing w:before="280" w:after="120"/>
        <w:rPr/>
      </w:pPr>
      <w:r>
        <w:rPr>
          <w:rFonts w:ascii="Arial" w:hAnsi="Arial"/>
          <w:b/>
          <w:color w:val="1B365D"/>
          <w:sz w:val="26"/>
        </w:rPr>
        <w:t>5. Quality Gates Transversales del Repositorio</w:t>
      </w:r>
    </w:p>
    <w:p>
      <w:pPr>
        <w:pStyle w:val="Normal"/>
        <w:spacing w:lineRule="auto" w:line="276" w:before="0" w:after="80"/>
        <w:rPr/>
      </w:pPr>
      <w:r>
        <w:rPr>
          <w:rFonts w:ascii="Arial" w:hAnsi="Arial"/>
          <w:i w:val="false"/>
          <w:color w:val="1E293B"/>
          <w:sz w:val="20"/>
        </w:rPr>
        <w:t>Para asegurar que ningún commit ni pull request degrade la calidad del código, se establecen barreras de control automatizadas divididas en dos fases ineludibles:</w:t>
      </w:r>
    </w:p>
    <w:p>
      <w:pPr>
        <w:pStyle w:val="ListBullet"/>
        <w:numPr>
          <w:ilvl w:val="0"/>
          <w:numId w:val="1"/>
        </w:numPr>
        <w:spacing w:lineRule="auto" w:line="276" w:before="0" w:after="60"/>
        <w:contextualSpacing/>
        <w:rPr/>
      </w:pPr>
      <w:r>
        <w:rPr>
          <w:rFonts w:ascii="Arial" w:hAnsi="Arial"/>
          <w:b/>
          <w:color w:val="1E293B"/>
          <w:sz w:val="20"/>
        </w:rPr>
        <w:t xml:space="preserve">1. Pre-commit Gate (Local / Git Hook): </w:t>
      </w:r>
      <w:r>
        <w:rPr>
          <w:rFonts w:ascii="Arial" w:hAnsi="Arial"/>
          <w:color w:val="1E293B"/>
          <w:sz w:val="20"/>
        </w:rPr>
        <w:t>Se ejecuta automáticamente antes de registrar cualquier commit local mediante Husky y lint-staged. Verifica formato (Prettier), ausencia de errores estáticos (ESLint con reglas estrictas de TypeScript) y ejecución de la suite de tests unitarios rápidos (&lt; 10 segundos). Si un solo test falla o un archivo incumple reglas de estilo, el commit se rechaza automáticamente.</w:t>
      </w:r>
    </w:p>
    <w:p>
      <w:pPr>
        <w:pStyle w:val="ListBullet"/>
        <w:numPr>
          <w:ilvl w:val="0"/>
          <w:numId w:val="1"/>
        </w:numPr>
        <w:spacing w:lineRule="auto" w:line="276" w:before="0" w:after="60"/>
        <w:contextualSpacing/>
        <w:rPr/>
      </w:pPr>
      <w:r>
        <w:rPr>
          <w:rFonts w:ascii="Arial" w:hAnsi="Arial"/>
          <w:b/>
          <w:color w:val="1E293B"/>
          <w:sz w:val="20"/>
        </w:rPr>
        <w:t xml:space="preserve">2. Pre-push &amp; CI Pipeline Gate: </w:t>
      </w:r>
      <w:r>
        <w:rPr>
          <w:rFonts w:ascii="Arial" w:hAnsi="Arial"/>
          <w:color w:val="1E293B"/>
          <w:sz w:val="20"/>
        </w:rPr>
        <w:t>Se ejecuta antes de permitir la subida de cambios (pre-push) y en el servidor de integración continua (CI). Ejecuta: 1) Comprobación de tipos estricta (tsc --noEmit); 2) Batería completa de tests de integración contra base de datos de test efímera; 3) Auditoría de cobertura honesta 100/80/0 (100% en servicios de negocio y validadores, 80% en controladores e integración); 4) Auditoría de dependencias (npm audit / yarn audit con cero vulnerabilidades críticas o altas).</w:t>
      </w:r>
    </w:p>
    <w:p>
      <w:pPr>
        <w:pStyle w:val="Normal"/>
        <w:keepNext w:val="true"/>
        <w:spacing w:before="280" w:after="120"/>
        <w:rPr/>
      </w:pPr>
      <w:r>
        <w:rPr>
          <w:rFonts w:ascii="Arial" w:hAnsi="Arial"/>
          <w:b/>
          <w:color w:val="1B365D"/>
          <w:sz w:val="26"/>
        </w:rPr>
        <w:t>6. Línea Base de Seguridad y Auditoría Forense</w:t>
      </w:r>
    </w:p>
    <w:p>
      <w:pPr>
        <w:pStyle w:val="ListBullet"/>
        <w:numPr>
          <w:ilvl w:val="0"/>
          <w:numId w:val="1"/>
        </w:numPr>
        <w:spacing w:lineRule="auto" w:line="276" w:before="0" w:after="60"/>
        <w:contextualSpacing/>
        <w:rPr/>
      </w:pPr>
      <w:r>
        <w:rPr>
          <w:rFonts w:ascii="Arial" w:hAnsi="Arial"/>
          <w:b/>
          <w:color w:val="1E293B"/>
          <w:sz w:val="20"/>
        </w:rPr>
        <w:t xml:space="preserve">1. Parse, Don't Validate en Frontera: </w:t>
      </w:r>
      <w:r>
        <w:rPr>
          <w:rFonts w:ascii="Arial" w:hAnsi="Arial"/>
          <w:color w:val="1E293B"/>
          <w:sz w:val="20"/>
        </w:rPr>
        <w:t>Toda petición HTTP entrante atraviesa de forma obligatoria el ValidationPipe global de NestJS configurado con: whitelist: true (elimina automáticamente cualquier propiedad no definida en el DTO), forbidNonWhitelisted: true (lanza Bad Request si se envían parámetros adicionales maliciosos) y transform: true (coerción estricta de tipos).</w:t>
      </w:r>
    </w:p>
    <w:p>
      <w:pPr>
        <w:pStyle w:val="ListBullet"/>
        <w:numPr>
          <w:ilvl w:val="0"/>
          <w:numId w:val="1"/>
        </w:numPr>
        <w:spacing w:lineRule="auto" w:line="276" w:before="0" w:after="60"/>
        <w:contextualSpacing/>
        <w:rPr/>
      </w:pPr>
      <w:r>
        <w:rPr>
          <w:rFonts w:ascii="Arial" w:hAnsi="Arial"/>
          <w:b/>
          <w:color w:val="1E293B"/>
          <w:sz w:val="20"/>
        </w:rPr>
        <w:t xml:space="preserve">2. Blindaje de Sesión y Transporte: </w:t>
      </w:r>
      <w:r>
        <w:rPr>
          <w:rFonts w:ascii="Arial" w:hAnsi="Arial"/>
          <w:color w:val="1E293B"/>
          <w:sz w:val="20"/>
        </w:rPr>
        <w:t>Cabecera Set-Cookie configurada con flags HttpOnly (inaccesible desde scripts de cliente / document.cookie), Secure (solo transmitida bajo TLS/HTTPS en producción) y SameSite=Strict (mitigación total de ataques CSRF).</w:t>
      </w:r>
    </w:p>
    <w:p>
      <w:pPr>
        <w:pStyle w:val="ListBullet"/>
        <w:numPr>
          <w:ilvl w:val="0"/>
          <w:numId w:val="1"/>
        </w:numPr>
        <w:spacing w:lineRule="auto" w:line="276" w:before="0" w:after="60"/>
        <w:contextualSpacing/>
        <w:rPr/>
      </w:pPr>
      <w:r>
        <w:rPr>
          <w:rFonts w:ascii="Arial" w:hAnsi="Arial"/>
          <w:b/>
          <w:color w:val="1E293B"/>
          <w:sz w:val="20"/>
        </w:rPr>
        <w:t xml:space="preserve">3. Cabeceras Defensivas HTTP (Helmet): </w:t>
      </w:r>
      <w:r>
        <w:rPr>
          <w:rFonts w:ascii="Arial" w:hAnsi="Arial"/>
          <w:color w:val="1E293B"/>
          <w:sz w:val="20"/>
        </w:rPr>
        <w:t>Implementación obligatoria de Helmet en NestJS para configurar cabeceras defensivas HTTP (Content-Security-Policy estricta, X-Content-Type-Options: nosniff, X-Frame-Options: DENY contra ataques de Clickjacking, y HSTS habilitado).</w:t>
      </w:r>
    </w:p>
    <w:p>
      <w:pPr>
        <w:pStyle w:val="ListBullet"/>
        <w:numPr>
          <w:ilvl w:val="0"/>
          <w:numId w:val="1"/>
        </w:numPr>
        <w:spacing w:lineRule="auto" w:line="276" w:before="0" w:after="60"/>
        <w:contextualSpacing/>
        <w:rPr/>
      </w:pPr>
      <w:r>
        <w:rPr>
          <w:rFonts w:ascii="Arial" w:hAnsi="Arial"/>
          <w:b/>
          <w:color w:val="1E293B"/>
          <w:sz w:val="20"/>
        </w:rPr>
        <w:t xml:space="preserve">4. Auditoría y Logs Estructurados sin Datos Sensibles: </w:t>
      </w:r>
      <w:r>
        <w:rPr>
          <w:rFonts w:ascii="Arial" w:hAnsi="Arial"/>
          <w:color w:val="1E293B"/>
          <w:sz w:val="20"/>
        </w:rPr>
        <w:t>Todos los registros de ejecución del servidor se emiten en formato JSON estructurado con timestamp ISO 8601, contexto del módulo y nivel de severidad (INFO, WARN, ERROR). Queda taxativamente prohibido registrar contraseñas, hashes, tokens de sesión o información personal identificable (PII) en los logs.</w:t>
      </w:r>
    </w:p>
    <w:p>
      <w:pPr>
        <w:pStyle w:val="ListBullet"/>
        <w:numPr>
          <w:ilvl w:val="0"/>
          <w:numId w:val="1"/>
        </w:numPr>
        <w:spacing w:lineRule="auto" w:line="276" w:before="0" w:after="60"/>
        <w:contextualSpacing/>
        <w:rPr/>
      </w:pPr>
      <w:r>
        <w:rPr>
          <w:rFonts w:ascii="Arial" w:hAnsi="Arial"/>
          <w:b/>
          <w:color w:val="1E293B"/>
          <w:sz w:val="20"/>
        </w:rPr>
        <w:t xml:space="preserve">5. Mitigación de IDOR e Inyección SQL: </w:t>
      </w:r>
      <w:r>
        <w:rPr>
          <w:rFonts w:ascii="Arial" w:hAnsi="Arial"/>
          <w:color w:val="1E293B"/>
          <w:sz w:val="20"/>
        </w:rPr>
        <w:t>Toda mutación o lectura de base de datos se ejecuta mediante el motor ORM parametrizado con cláusula WHERE user_id = :userId validado criptográficamente en el middleware de autenticación, imposibilitando inyecciones SQL o saltos de tenant horizontales (IDOR).</w:t>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ListBullet"/>
        <w:numPr>
          <w:ilvl w:val="0"/>
          <w:numId w:val="0"/>
        </w:numPr>
        <w:spacing w:lineRule="auto" w:line="276" w:before="0" w:after="60"/>
        <w:contextualSpacing/>
        <w:rPr>
          <w:rFonts w:ascii="Arial" w:hAnsi="Arial"/>
          <w:color w:val="1E293B"/>
          <w:sz w:val="20"/>
        </w:rPr>
      </w:pPr>
      <w:r>
        <w:rPr/>
      </w:r>
    </w:p>
    <w:p>
      <w:pPr>
        <w:pStyle w:val="Normal"/>
        <w:spacing w:before="0" w:after="40"/>
        <w:rPr/>
      </w:pPr>
      <w:r>
        <w:rPr>
          <w:rFonts w:ascii="Arial" w:hAnsi="Arial"/>
          <w:b/>
          <w:color w:val="1B365D"/>
          <w:sz w:val="44"/>
        </w:rPr>
        <w:t>CENTRA-T · DOMAIN MODEL</w:t>
      </w:r>
    </w:p>
    <w:p>
      <w:pPr>
        <w:pStyle w:val="Normal"/>
        <w:spacing w:before="0" w:after="280"/>
        <w:rPr/>
      </w:pPr>
      <w:r>
        <w:rPr>
          <w:rFonts w:ascii="Arial" w:hAnsi="Arial"/>
          <w:i/>
          <w:color w:val="64748B"/>
          <w:sz w:val="22"/>
        </w:rPr>
        <w:t>Documento Canónico 03 de 10 · Ontología de Dominio Puro y DDD Táctico · Método zug</w:t>
      </w:r>
    </w:p>
    <w:p>
      <w:pPr>
        <w:pStyle w:val="Normal"/>
        <w:keepNext w:val="true"/>
        <w:spacing w:before="280" w:after="120"/>
        <w:rPr/>
      </w:pPr>
      <w:r>
        <w:rPr>
          <w:rFonts w:ascii="Arial" w:hAnsi="Arial"/>
          <w:b/>
          <w:color w:val="1B365D"/>
          <w:sz w:val="26"/>
        </w:rPr>
        <w:t>1. Propósito y Principios Ontológicos</w:t>
      </w:r>
    </w:p>
    <w:p>
      <w:pPr>
        <w:pStyle w:val="Normal"/>
        <w:spacing w:lineRule="auto" w:line="276" w:before="0" w:after="80"/>
        <w:rPr/>
      </w:pPr>
      <w:r>
        <w:rPr>
          <w:rFonts w:ascii="Arial" w:hAnsi="Arial"/>
          <w:i w:val="false"/>
          <w:color w:val="1E293B"/>
          <w:sz w:val="20"/>
        </w:rPr>
        <w:t>El presente documento formaliza la ontología, invariantes y reglas de negocio puras de Centra-T bajo los principios de Domain-Driven Design (DDD) táctico. Constituye el núcleo conceptual del software y se mantiene en aislamiento absoluto respecto a bases de datos, APIs de transporte, frameworks web (NestJS, Next.js) o mecanismos de almacenamiento físico. Ninguna clase o tipo del dominio puede importar paquetes de infraestructura.</w:t>
      </w:r>
    </w:p>
    <w:p>
      <w:pPr>
        <w:pStyle w:val="ListBullet"/>
        <w:numPr>
          <w:ilvl w:val="0"/>
          <w:numId w:val="1"/>
        </w:numPr>
        <w:spacing w:lineRule="auto" w:line="276" w:before="0" w:after="60"/>
        <w:contextualSpacing/>
        <w:rPr/>
      </w:pPr>
      <w:r>
        <w:rPr>
          <w:rFonts w:ascii="Arial" w:hAnsi="Arial"/>
          <w:b/>
          <w:color w:val="1E293B"/>
          <w:sz w:val="20"/>
        </w:rPr>
        <w:t xml:space="preserve">Aislamiento Absoluto: </w:t>
      </w:r>
      <w:r>
        <w:rPr>
          <w:rFonts w:ascii="Arial" w:hAnsi="Arial"/>
          <w:color w:val="1E293B"/>
          <w:sz w:val="20"/>
        </w:rPr>
        <w:t>Las entidades de dominio son las únicas autoridades para mutar su propio estado interno mediante métodos de negocio explícitos. Queda prohibido el uso de setters anémicos.</w:t>
      </w:r>
    </w:p>
    <w:p>
      <w:pPr>
        <w:pStyle w:val="ListBullet"/>
        <w:numPr>
          <w:ilvl w:val="0"/>
          <w:numId w:val="1"/>
        </w:numPr>
        <w:spacing w:lineRule="auto" w:line="276" w:before="0" w:after="60"/>
        <w:contextualSpacing/>
        <w:rPr/>
      </w:pPr>
      <w:r>
        <w:rPr>
          <w:rFonts w:ascii="Arial" w:hAnsi="Arial"/>
          <w:b/>
          <w:color w:val="1E293B"/>
          <w:sz w:val="20"/>
        </w:rPr>
        <w:t xml:space="preserve">Result Pattern Estricto: </w:t>
      </w:r>
      <w:r>
        <w:rPr>
          <w:rFonts w:ascii="Arial" w:hAnsi="Arial"/>
          <w:color w:val="1E293B"/>
          <w:sz w:val="20"/>
        </w:rPr>
        <w:t>Los errores de negocio no lanzan excepciones genéricas (throw new Error()); retornan instancias de Result&lt;Success, DomainError&gt; fuertemente tipadas.</w:t>
      </w:r>
    </w:p>
    <w:p>
      <w:pPr>
        <w:pStyle w:val="ListBullet"/>
        <w:numPr>
          <w:ilvl w:val="0"/>
          <w:numId w:val="1"/>
        </w:numPr>
        <w:spacing w:lineRule="auto" w:line="276" w:before="0" w:after="60"/>
        <w:contextualSpacing/>
        <w:rPr/>
      </w:pPr>
      <w:r>
        <w:rPr>
          <w:rFonts w:ascii="Arial" w:hAnsi="Arial"/>
          <w:b/>
          <w:color w:val="1E293B"/>
          <w:sz w:val="20"/>
        </w:rPr>
        <w:t xml:space="preserve">Invariantes Blindadas: </w:t>
      </w:r>
      <w:r>
        <w:rPr>
          <w:rFonts w:ascii="Arial" w:hAnsi="Arial"/>
          <w:color w:val="1E293B"/>
          <w:sz w:val="20"/>
        </w:rPr>
        <w:t>Toda regla se formula como una condición innegociable que debe satisfacerse antes, durante y después de cualquier transacción atómica.</w:t>
      </w:r>
    </w:p>
    <w:p>
      <w:pPr>
        <w:pStyle w:val="Normal"/>
        <w:keepNext w:val="true"/>
        <w:spacing w:before="280" w:after="120"/>
        <w:rPr/>
      </w:pPr>
      <w:r>
        <w:rPr>
          <w:rFonts w:ascii="Arial" w:hAnsi="Arial"/>
          <w:b/>
          <w:color w:val="1B365D"/>
          <w:sz w:val="26"/>
        </w:rPr>
        <w:t>2. Catálogo de Objetos de Valor (Value Objects - VOs)</w:t>
      </w:r>
    </w:p>
    <w:p>
      <w:pPr>
        <w:pStyle w:val="Normal"/>
        <w:spacing w:lineRule="auto" w:line="276" w:before="0" w:after="80"/>
        <w:rPr/>
      </w:pPr>
      <w:r>
        <w:rPr>
          <w:rFonts w:ascii="Arial" w:hAnsi="Arial"/>
          <w:i w:val="false"/>
          <w:color w:val="1E293B"/>
          <w:sz w:val="20"/>
        </w:rPr>
        <w:t>Los Objetos de Valor son inmutables, carecen de identidad propia y se definen exclusivamente por sus atributos y auto-validación en el momento de instanciación.</w:t>
      </w:r>
    </w:p>
    <w:tbl>
      <w:tblPr>
        <w:tblW w:w="9600"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1527"/>
        <w:gridCol w:w="1418"/>
        <w:gridCol w:w="4257"/>
        <w:gridCol w:w="2397"/>
      </w:tblGrid>
      <w:tr>
        <w:trPr/>
        <w:tc>
          <w:tcPr>
            <w:tcW w:w="1527" w:type="dxa"/>
            <w:tcBorders/>
            <w:shd w:fill="1B365D"/>
          </w:tcPr>
          <w:p>
            <w:pPr>
              <w:pStyle w:val="Normal"/>
              <w:widowControl/>
              <w:bidi w:val="0"/>
              <w:spacing w:lineRule="auto" w:line="276" w:before="0" w:after="200"/>
              <w:jc w:val="left"/>
              <w:rPr/>
            </w:pPr>
            <w:r>
              <w:rPr>
                <w:rFonts w:ascii="Arial" w:hAnsi="Arial"/>
                <w:b/>
                <w:color w:val="FFFFFF"/>
                <w:sz w:val="18"/>
              </w:rPr>
              <w:t>Value Object</w:t>
            </w:r>
          </w:p>
        </w:tc>
        <w:tc>
          <w:tcPr>
            <w:tcW w:w="1418" w:type="dxa"/>
            <w:tcBorders/>
            <w:shd w:fill="1B365D"/>
          </w:tcPr>
          <w:p>
            <w:pPr>
              <w:pStyle w:val="Normal"/>
              <w:widowControl/>
              <w:bidi w:val="0"/>
              <w:spacing w:lineRule="auto" w:line="276" w:before="0" w:after="200"/>
              <w:jc w:val="left"/>
              <w:rPr/>
            </w:pPr>
            <w:r>
              <w:rPr>
                <w:rFonts w:ascii="Arial" w:hAnsi="Arial"/>
                <w:b/>
                <w:color w:val="FFFFFF"/>
                <w:sz w:val="18"/>
              </w:rPr>
              <w:t>Tipo Primitivo</w:t>
            </w:r>
          </w:p>
        </w:tc>
        <w:tc>
          <w:tcPr>
            <w:tcW w:w="4257" w:type="dxa"/>
            <w:tcBorders/>
            <w:shd w:fill="1B365D"/>
          </w:tcPr>
          <w:p>
            <w:pPr>
              <w:pStyle w:val="Normal"/>
              <w:widowControl/>
              <w:bidi w:val="0"/>
              <w:spacing w:lineRule="auto" w:line="276" w:before="0" w:after="200"/>
              <w:jc w:val="left"/>
              <w:rPr/>
            </w:pPr>
            <w:r>
              <w:rPr>
                <w:rFonts w:ascii="Arial" w:hAnsi="Arial"/>
                <w:b/>
                <w:color w:val="FFFFFF"/>
                <w:sz w:val="18"/>
              </w:rPr>
              <w:t>Regla de Invariante</w:t>
            </w:r>
          </w:p>
        </w:tc>
        <w:tc>
          <w:tcPr>
            <w:tcW w:w="2397" w:type="dxa"/>
            <w:tcBorders/>
            <w:shd w:fill="1B365D"/>
          </w:tcPr>
          <w:p>
            <w:pPr>
              <w:pStyle w:val="Normal"/>
              <w:widowControl/>
              <w:bidi w:val="0"/>
              <w:spacing w:lineRule="auto" w:line="276" w:before="0" w:after="200"/>
              <w:jc w:val="left"/>
              <w:rPr/>
            </w:pPr>
            <w:r>
              <w:rPr>
                <w:rFonts w:ascii="Arial" w:hAnsi="Arial"/>
                <w:b/>
                <w:color w:val="FFFFFF"/>
                <w:sz w:val="18"/>
              </w:rPr>
              <w:t>Fallo / Error</w:t>
            </w:r>
          </w:p>
        </w:tc>
      </w:tr>
      <w:tr>
        <w:trPr/>
        <w:tc>
          <w:tcPr>
            <w:tcW w:w="152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UserId</w:t>
            </w:r>
          </w:p>
        </w:tc>
        <w:tc>
          <w:tcPr>
            <w:tcW w:w="1418"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 (UUID v4)</w:t>
            </w:r>
          </w:p>
        </w:tc>
        <w:tc>
          <w:tcPr>
            <w:tcW w:w="425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Debe ser un identificador único universal versión 4 válido.</w:t>
            </w:r>
          </w:p>
        </w:tc>
        <w:tc>
          <w:tcPr>
            <w:tcW w:w="239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Retorna ERR_INVALID_USER_ID.</w:t>
            </w:r>
          </w:p>
        </w:tc>
      </w:tr>
      <w:tr>
        <w:trPr/>
        <w:tc>
          <w:tcPr>
            <w:tcW w:w="152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UserEmail</w:t>
            </w:r>
          </w:p>
        </w:tc>
        <w:tc>
          <w:tcPr>
            <w:tcW w:w="1418"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425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Formato RFC 5322 válido, normalizado a minúsculas, sin espacios, longitud entre 5 y 120 caracteres.</w:t>
            </w:r>
          </w:p>
        </w:tc>
        <w:tc>
          <w:tcPr>
            <w:tcW w:w="239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Retorna ERR_INVALID_EMAIL_FORMAT.</w:t>
            </w:r>
          </w:p>
        </w:tc>
      </w:tr>
      <w:tr>
        <w:trPr/>
        <w:tc>
          <w:tcPr>
            <w:tcW w:w="152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PasswordHash</w:t>
            </w:r>
          </w:p>
        </w:tc>
        <w:tc>
          <w:tcPr>
            <w:tcW w:w="1418"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425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Cadena con hash bcrypt válido (formato $2b$12$... con salt integrado). Jamás almacena texto plano.</w:t>
            </w:r>
          </w:p>
        </w:tc>
        <w:tc>
          <w:tcPr>
            <w:tcW w:w="239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Retorna ERR_INVALID_PASSWORD_HASH.</w:t>
            </w:r>
          </w:p>
        </w:tc>
      </w:tr>
      <w:tr>
        <w:trPr/>
        <w:tc>
          <w:tcPr>
            <w:tcW w:w="152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ItemId</w:t>
            </w:r>
          </w:p>
        </w:tc>
        <w:tc>
          <w:tcPr>
            <w:tcW w:w="1418"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 (UUID v4)</w:t>
            </w:r>
          </w:p>
        </w:tc>
        <w:tc>
          <w:tcPr>
            <w:tcW w:w="425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Debe ser un identificador único universal versión 4 válido.</w:t>
            </w:r>
          </w:p>
        </w:tc>
        <w:tc>
          <w:tcPr>
            <w:tcW w:w="239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Retorna ERR_INVALID_ITEM_ID.</w:t>
            </w:r>
          </w:p>
        </w:tc>
      </w:tr>
      <w:tr>
        <w:trPr/>
        <w:tc>
          <w:tcPr>
            <w:tcW w:w="152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ItemName</w:t>
            </w:r>
          </w:p>
        </w:tc>
        <w:tc>
          <w:tcPr>
            <w:tcW w:w="1418"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425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Cadena de 1 a 120 caracteres. Trim obligatorio. No puede estar vacía ni contener solo espacios.</w:t>
            </w:r>
          </w:p>
        </w:tc>
        <w:tc>
          <w:tcPr>
            <w:tcW w:w="239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Retorna ERR_INVALID_ITEM_NAME.</w:t>
            </w:r>
          </w:p>
        </w:tc>
      </w:tr>
      <w:tr>
        <w:trPr/>
        <w:tc>
          <w:tcPr>
            <w:tcW w:w="152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ItemDescription</w:t>
            </w:r>
          </w:p>
        </w:tc>
        <w:tc>
          <w:tcPr>
            <w:tcW w:w="1418"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string</w:t>
            </w:r>
          </w:p>
        </w:tc>
        <w:tc>
          <w:tcPr>
            <w:tcW w:w="425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Cadena de 0 a 1000 caracteres. Campo opcional (permite cadena vacía).</w:t>
            </w:r>
          </w:p>
        </w:tc>
        <w:tc>
          <w:tcPr>
            <w:tcW w:w="239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Retorna ERR_INVALID_ITEM_DESCRIPTION.</w:t>
            </w:r>
          </w:p>
        </w:tc>
      </w:tr>
      <w:tr>
        <w:trPr/>
        <w:tc>
          <w:tcPr>
            <w:tcW w:w="152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ItemPriority</w:t>
            </w:r>
          </w:p>
        </w:tc>
        <w:tc>
          <w:tcPr>
            <w:tcW w:w="1418"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enum ('ALTA', 'MEDIA', 'BAJA')</w:t>
            </w:r>
          </w:p>
        </w:tc>
        <w:tc>
          <w:tcPr>
            <w:tcW w:w="425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Valores restringidos a Alta (peso 3), Media (peso 2) y Baja (peso 1). Inmutable por defecto.</w:t>
            </w:r>
          </w:p>
        </w:tc>
        <w:tc>
          <w:tcPr>
            <w:tcW w:w="239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Retorna ERR_INVALID_ITEM_PRIORITY.</w:t>
            </w:r>
          </w:p>
        </w:tc>
      </w:tr>
      <w:tr>
        <w:trPr/>
        <w:tc>
          <w:tcPr>
            <w:tcW w:w="152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ItemModule</w:t>
            </w:r>
          </w:p>
        </w:tc>
        <w:tc>
          <w:tcPr>
            <w:tcW w:w="1418"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enum ('tasks', 'shopping', 'cleaning')</w:t>
            </w:r>
          </w:p>
        </w:tc>
        <w:tc>
          <w:tcPr>
            <w:tcW w:w="425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Identificador estricto del módulo funcional al que pertenece el elemento.</w:t>
            </w:r>
          </w:p>
        </w:tc>
        <w:tc>
          <w:tcPr>
            <w:tcW w:w="239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Retorna ERR_INVALID_ITEM_MODULE.</w:t>
            </w:r>
          </w:p>
        </w:tc>
      </w:tr>
      <w:tr>
        <w:trPr/>
        <w:tc>
          <w:tcPr>
            <w:tcW w:w="152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ExecutionDate</w:t>
            </w:r>
          </w:p>
        </w:tc>
        <w:tc>
          <w:tcPr>
            <w:tcW w:w="1418"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Date | null</w:t>
            </w:r>
          </w:p>
        </w:tc>
        <w:tc>
          <w:tcPr>
            <w:tcW w:w="425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Si es fecha, debe ser &gt;= fecha del día real en el momento de la asignación. No admite fechas pasadas.</w:t>
            </w:r>
          </w:p>
        </w:tc>
        <w:tc>
          <w:tcPr>
            <w:tcW w:w="239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Retorna ERR_PAST_DATE_FORBIDDEN.</w:t>
            </w:r>
          </w:p>
        </w:tc>
      </w:tr>
    </w:tbl>
    <w:p>
      <w:pPr>
        <w:pStyle w:val="Normal"/>
        <w:spacing w:before="0" w:after="80"/>
        <w:rPr/>
      </w:pPr>
      <w:r>
        <w:rPr/>
      </w:r>
    </w:p>
    <w:p>
      <w:pPr>
        <w:pStyle w:val="Normal"/>
        <w:keepNext w:val="true"/>
        <w:spacing w:before="280" w:after="120"/>
        <w:rPr/>
      </w:pPr>
      <w:r>
        <w:rPr>
          <w:rFonts w:ascii="Arial" w:hAnsi="Arial"/>
          <w:b/>
          <w:color w:val="1B365D"/>
          <w:sz w:val="26"/>
        </w:rPr>
        <w:t>3. Catálogo de Entidades y Raíces de Agregado (Aggregate Roots)</w:t>
      </w:r>
    </w:p>
    <w:p>
      <w:pPr>
        <w:pStyle w:val="Normal"/>
        <w:keepNext w:val="true"/>
        <w:spacing w:before="200" w:after="80"/>
        <w:rPr/>
      </w:pPr>
      <w:r>
        <w:rPr>
          <w:rFonts w:ascii="Arial" w:hAnsi="Arial"/>
          <w:b/>
          <w:color w:val="4A6182"/>
          <w:sz w:val="23"/>
        </w:rPr>
        <w:t>Agregado 1: User (Aggregate Root)</w:t>
      </w:r>
    </w:p>
    <w:p>
      <w:pPr>
        <w:pStyle w:val="ListBullet"/>
        <w:numPr>
          <w:ilvl w:val="0"/>
          <w:numId w:val="1"/>
        </w:numPr>
        <w:spacing w:lineRule="auto" w:line="276" w:before="0" w:after="60"/>
        <w:contextualSpacing/>
        <w:rPr/>
      </w:pPr>
      <w:r>
        <w:rPr>
          <w:rFonts w:ascii="Arial" w:hAnsi="Arial"/>
          <w:b/>
          <w:color w:val="1E293B"/>
          <w:sz w:val="20"/>
        </w:rPr>
        <w:t xml:space="preserve">Identidad: </w:t>
      </w:r>
      <w:r>
        <w:rPr>
          <w:rFonts w:ascii="Arial" w:hAnsi="Arial"/>
          <w:color w:val="1E293B"/>
          <w:sz w:val="20"/>
        </w:rPr>
        <w:t>UserId (UUID v4 generado criptográficamente al registrarse).</w:t>
      </w:r>
    </w:p>
    <w:p>
      <w:pPr>
        <w:pStyle w:val="ListBullet"/>
        <w:numPr>
          <w:ilvl w:val="0"/>
          <w:numId w:val="1"/>
        </w:numPr>
        <w:spacing w:lineRule="auto" w:line="276" w:before="0" w:after="60"/>
        <w:contextualSpacing/>
        <w:rPr/>
      </w:pPr>
      <w:r>
        <w:rPr>
          <w:rFonts w:ascii="Arial" w:hAnsi="Arial"/>
          <w:b/>
          <w:color w:val="1E293B"/>
          <w:sz w:val="20"/>
        </w:rPr>
        <w:t xml:space="preserve">Atributos de Dominio: </w:t>
      </w:r>
      <w:r>
        <w:rPr>
          <w:rFonts w:ascii="Arial" w:hAnsi="Arial"/>
          <w:color w:val="1E293B"/>
          <w:sz w:val="20"/>
        </w:rPr>
        <w:t>id: UserId, email: UserEmail, passwordHash: PasswordHash, createdAt: Date, updatedAt: Date.</w:t>
      </w:r>
    </w:p>
    <w:p>
      <w:pPr>
        <w:pStyle w:val="ListBullet"/>
        <w:numPr>
          <w:ilvl w:val="0"/>
          <w:numId w:val="1"/>
        </w:numPr>
        <w:spacing w:lineRule="auto" w:line="276" w:before="0" w:after="60"/>
        <w:contextualSpacing/>
        <w:rPr/>
      </w:pPr>
      <w:r>
        <w:rPr>
          <w:rFonts w:ascii="Arial" w:hAnsi="Arial"/>
          <w:b/>
          <w:color w:val="1E293B"/>
          <w:sz w:val="20"/>
        </w:rPr>
        <w:t xml:space="preserve">Invariantes de Negocio: </w:t>
      </w:r>
      <w:r>
        <w:rPr>
          <w:rFonts w:ascii="Arial" w:hAnsi="Arial"/>
          <w:color w:val="1E293B"/>
          <w:sz w:val="20"/>
        </w:rPr>
        <w:t>1) El email debe ser unívoco en el sistema; 2) La contraseña jamás puede existir en memoria de dominio en formato plano; 3) El usuario no puede pertenecer a más de un contexto de autenticación a la vez.</w:t>
      </w:r>
    </w:p>
    <w:p>
      <w:pPr>
        <w:pStyle w:val="Normal"/>
        <w:keepNext w:val="true"/>
        <w:spacing w:before="120" w:after="40"/>
        <w:rPr/>
      </w:pPr>
      <w:r>
        <w:rPr>
          <w:rFonts w:ascii="Arial" w:hAnsi="Arial"/>
          <w:b/>
          <w:color w:val="1E293B"/>
          <w:sz w:val="21"/>
        </w:rPr>
        <w:t>Operaciones de Dominio (Métodos):</w:t>
      </w:r>
    </w:p>
    <w:p>
      <w:pPr>
        <w:pStyle w:val="ListBullet"/>
        <w:numPr>
          <w:ilvl w:val="0"/>
          <w:numId w:val="1"/>
        </w:numPr>
        <w:spacing w:lineRule="auto" w:line="276" w:before="0" w:after="60"/>
        <w:contextualSpacing/>
        <w:rPr/>
      </w:pPr>
      <w:r>
        <w:rPr>
          <w:rFonts w:ascii="Arial" w:hAnsi="Arial"/>
          <w:b/>
          <w:color w:val="1E293B"/>
          <w:sz w:val="20"/>
        </w:rPr>
        <w:t xml:space="preserve">User.create(email: UserEmail, hash: PasswordHash): Result&lt;User, DomainError&gt; -&gt; </w:t>
      </w:r>
      <w:r>
        <w:rPr>
          <w:rFonts w:ascii="Arial" w:hAnsi="Arial"/>
          <w:color w:val="1E293B"/>
          <w:sz w:val="20"/>
        </w:rPr>
        <w:t>Crea una nueva instancia de usuario asegurando que el email sea válido y el hash cumpla las políticas de seguridad. Emite UserRegisteredEvent.</w:t>
      </w:r>
    </w:p>
    <w:p>
      <w:pPr>
        <w:pStyle w:val="ListBullet"/>
        <w:numPr>
          <w:ilvl w:val="0"/>
          <w:numId w:val="1"/>
        </w:numPr>
        <w:spacing w:lineRule="auto" w:line="276" w:before="0" w:after="60"/>
        <w:contextualSpacing/>
        <w:rPr/>
      </w:pPr>
      <w:r>
        <w:rPr>
          <w:rFonts w:ascii="Arial" w:hAnsi="Arial"/>
          <w:b/>
          <w:color w:val="1E293B"/>
          <w:sz w:val="20"/>
        </w:rPr>
        <w:t xml:space="preserve">user.verifyPassword(candidateHash: PasswordHash): boolean -&gt; </w:t>
      </w:r>
      <w:r>
        <w:rPr>
          <w:rFonts w:ascii="Arial" w:hAnsi="Arial"/>
          <w:color w:val="1E293B"/>
          <w:sz w:val="20"/>
        </w:rPr>
        <w:t>Verifica si el hash corresponde con el secreto proporcionado mediante comparación resistente a timing-attacks.</w:t>
      </w:r>
    </w:p>
    <w:p>
      <w:pPr>
        <w:pStyle w:val="Normal"/>
        <w:keepNext w:val="true"/>
        <w:spacing w:before="200" w:after="80"/>
        <w:rPr/>
      </w:pPr>
      <w:r>
        <w:rPr>
          <w:rFonts w:ascii="Arial" w:hAnsi="Arial"/>
          <w:b/>
          <w:color w:val="4A6182"/>
          <w:sz w:val="23"/>
        </w:rPr>
        <w:t>Agregado 2: DomesticItem (Aggregate Root Unificado)</w:t>
      </w:r>
    </w:p>
    <w:p>
      <w:pPr>
        <w:pStyle w:val="Normal"/>
        <w:spacing w:lineRule="auto" w:line="276" w:before="0" w:after="80"/>
        <w:rPr/>
      </w:pPr>
      <w:r>
        <w:rPr>
          <w:rFonts w:ascii="Arial" w:hAnsi="Arial"/>
          <w:i w:val="false"/>
          <w:color w:val="1E293B"/>
          <w:sz w:val="20"/>
        </w:rPr>
        <w:t>Entidad nuclear de Centra-T que gobierna de forma homogénea los tres dominios funcionales (Tareas Generales, Compra Semanal y Limpieza), encapsulando su ciclo de vida y garantizando el aislamiento de tenant.</w:t>
      </w:r>
    </w:p>
    <w:p>
      <w:pPr>
        <w:pStyle w:val="ListBullet"/>
        <w:numPr>
          <w:ilvl w:val="0"/>
          <w:numId w:val="1"/>
        </w:numPr>
        <w:spacing w:lineRule="auto" w:line="276" w:before="0" w:after="60"/>
        <w:contextualSpacing/>
        <w:rPr/>
      </w:pPr>
      <w:r>
        <w:rPr>
          <w:rFonts w:ascii="Arial" w:hAnsi="Arial"/>
          <w:b/>
          <w:color w:val="1E293B"/>
          <w:sz w:val="20"/>
        </w:rPr>
        <w:t xml:space="preserve">Identidad: </w:t>
      </w:r>
      <w:r>
        <w:rPr>
          <w:rFonts w:ascii="Arial" w:hAnsi="Arial"/>
          <w:color w:val="1E293B"/>
          <w:sz w:val="20"/>
        </w:rPr>
        <w:t>ItemId (UUID v4 inmutable).</w:t>
      </w:r>
    </w:p>
    <w:p>
      <w:pPr>
        <w:pStyle w:val="ListBullet"/>
        <w:numPr>
          <w:ilvl w:val="0"/>
          <w:numId w:val="1"/>
        </w:numPr>
        <w:spacing w:lineRule="auto" w:line="276" w:before="0" w:after="60"/>
        <w:contextualSpacing/>
        <w:rPr/>
      </w:pPr>
      <w:r>
        <w:rPr>
          <w:rFonts w:ascii="Arial" w:hAnsi="Arial"/>
          <w:b/>
          <w:color w:val="1E293B"/>
          <w:sz w:val="20"/>
        </w:rPr>
        <w:t xml:space="preserve">Atributos de Dominio: </w:t>
      </w:r>
      <w:r>
        <w:rPr>
          <w:rFonts w:ascii="Arial" w:hAnsi="Arial"/>
          <w:color w:val="1E293B"/>
          <w:sz w:val="20"/>
        </w:rPr>
        <w:t>id: ItemId, userId: UserId, modulo: ItemModule, nombre: ItemName, descripcion: ItemDescription, prioridad: ItemPriority, completado: boolean, fechaEjecucion: ExecutionDate | null, createdAt: Date, updatedAt: Date.</w:t>
      </w:r>
    </w:p>
    <w:p>
      <w:pPr>
        <w:pStyle w:val="ListBullet"/>
        <w:numPr>
          <w:ilvl w:val="0"/>
          <w:numId w:val="1"/>
        </w:numPr>
        <w:spacing w:lineRule="auto" w:line="276" w:before="0" w:after="60"/>
        <w:contextualSpacing/>
        <w:rPr/>
      </w:pPr>
      <w:r>
        <w:rPr>
          <w:rFonts w:ascii="Arial" w:hAnsi="Arial"/>
          <w:b/>
          <w:color w:val="1E293B"/>
          <w:sz w:val="20"/>
        </w:rPr>
        <w:t xml:space="preserve">Invariantes de Negocio: </w:t>
      </w:r>
      <w:r>
        <w:rPr>
          <w:rFonts w:ascii="Arial" w:hAnsi="Arial"/>
          <w:color w:val="1E293B"/>
          <w:sz w:val="20"/>
        </w:rPr>
        <w:t>1) Toda entidad pertenece estrictamente a un único userId (aislamiento multitenant); 2) El módulo ('tasks' | 'shopping' | 'cleaning') es inmutable tras la creación; 3) Nace obligatoriamente con fechaEjecucion = null y completado = false; 4) La fecha de ejecución jamás puede situarse en el pasado respecto al momento de la asignación.</w:t>
      </w:r>
    </w:p>
    <w:p>
      <w:pPr>
        <w:pStyle w:val="Normal"/>
        <w:keepNext w:val="true"/>
        <w:spacing w:before="120" w:after="40"/>
        <w:rPr/>
      </w:pPr>
      <w:r>
        <w:rPr>
          <w:rFonts w:ascii="Arial" w:hAnsi="Arial"/>
          <w:b/>
          <w:color w:val="1E293B"/>
          <w:sz w:val="21"/>
        </w:rPr>
        <w:t>Operaciones de Dominio (Métodos):</w:t>
      </w:r>
    </w:p>
    <w:p>
      <w:pPr>
        <w:pStyle w:val="ListBullet"/>
        <w:numPr>
          <w:ilvl w:val="0"/>
          <w:numId w:val="1"/>
        </w:numPr>
        <w:spacing w:lineRule="auto" w:line="276" w:before="0" w:after="60"/>
        <w:contextualSpacing/>
        <w:rPr/>
      </w:pPr>
      <w:r>
        <w:rPr>
          <w:rFonts w:ascii="Arial" w:hAnsi="Arial"/>
          <w:b/>
          <w:color w:val="1E293B"/>
          <w:sz w:val="20"/>
        </w:rPr>
        <w:t xml:space="preserve">DomesticItem.create(userId, modulo, nombre, desc, prioridad): Result&lt;DomesticItem, DomainError&gt; -&gt; </w:t>
      </w:r>
      <w:r>
        <w:rPr>
          <w:rFonts w:ascii="Arial" w:hAnsi="Arial"/>
          <w:color w:val="1E293B"/>
          <w:sz w:val="20"/>
        </w:rPr>
        <w:t>Instancia un nuevo item doméstico en estado pendiente y sin fecha. Emite DomesticItemCreatedEvent.</w:t>
      </w:r>
    </w:p>
    <w:p>
      <w:pPr>
        <w:pStyle w:val="ListBullet"/>
        <w:numPr>
          <w:ilvl w:val="0"/>
          <w:numId w:val="1"/>
        </w:numPr>
        <w:spacing w:lineRule="auto" w:line="276" w:before="0" w:after="60"/>
        <w:contextualSpacing/>
        <w:rPr/>
      </w:pPr>
      <w:r>
        <w:rPr>
          <w:rFonts w:ascii="Arial" w:hAnsi="Arial"/>
          <w:b/>
          <w:color w:val="1E293B"/>
          <w:sz w:val="20"/>
        </w:rPr>
        <w:t xml:space="preserve">item.rename(newName: ItemName): Result&lt;void, DomainError&gt; -&gt; </w:t>
      </w:r>
      <w:r>
        <w:rPr>
          <w:rFonts w:ascii="Arial" w:hAnsi="Arial"/>
          <w:color w:val="1E293B"/>
          <w:sz w:val="20"/>
        </w:rPr>
        <w:t>Modifica el nombre del item previa validación del nuevo ItemName. Emite DomesticItemRenamedEvent.</w:t>
      </w:r>
    </w:p>
    <w:p>
      <w:pPr>
        <w:pStyle w:val="ListBullet"/>
        <w:numPr>
          <w:ilvl w:val="0"/>
          <w:numId w:val="1"/>
        </w:numPr>
        <w:spacing w:lineRule="auto" w:line="276" w:before="0" w:after="60"/>
        <w:contextualSpacing/>
        <w:rPr/>
      </w:pPr>
      <w:r>
        <w:rPr>
          <w:rFonts w:ascii="Arial" w:hAnsi="Arial"/>
          <w:b/>
          <w:color w:val="1E293B"/>
          <w:sz w:val="20"/>
        </w:rPr>
        <w:t xml:space="preserve">item.updateDescription(newDesc: ItemDescription): Result&lt;void, DomainError&gt; -&gt; </w:t>
      </w:r>
      <w:r>
        <w:rPr>
          <w:rFonts w:ascii="Arial" w:hAnsi="Arial"/>
          <w:color w:val="1E293B"/>
          <w:sz w:val="20"/>
        </w:rPr>
        <w:t>Actualiza la descripción del elemento garantizando el límite de 1000 caracteres.</w:t>
      </w:r>
    </w:p>
    <w:p>
      <w:pPr>
        <w:pStyle w:val="ListBullet"/>
        <w:numPr>
          <w:ilvl w:val="0"/>
          <w:numId w:val="1"/>
        </w:numPr>
        <w:spacing w:lineRule="auto" w:line="276" w:before="0" w:after="60"/>
        <w:contextualSpacing/>
        <w:rPr/>
      </w:pPr>
      <w:r>
        <w:rPr>
          <w:rFonts w:ascii="Arial" w:hAnsi="Arial"/>
          <w:b/>
          <w:color w:val="1E293B"/>
          <w:sz w:val="20"/>
        </w:rPr>
        <w:t xml:space="preserve">item.changePriority(newPriority: ItemPriority): Result&lt;void, DomainError&gt; -&gt; </w:t>
      </w:r>
      <w:r>
        <w:rPr>
          <w:rFonts w:ascii="Arial" w:hAnsi="Arial"/>
          <w:color w:val="1E293B"/>
          <w:sz w:val="20"/>
        </w:rPr>
        <w:t>Modifica el nivel de prioridad entre Alta, Media o Baja. Emite DomesticItemPriorityChangedEvent.</w:t>
      </w:r>
    </w:p>
    <w:p>
      <w:pPr>
        <w:pStyle w:val="ListBullet"/>
        <w:numPr>
          <w:ilvl w:val="0"/>
          <w:numId w:val="1"/>
        </w:numPr>
        <w:spacing w:lineRule="auto" w:line="276" w:before="0" w:after="60"/>
        <w:contextualSpacing/>
        <w:rPr/>
      </w:pPr>
      <w:r>
        <w:rPr>
          <w:rFonts w:ascii="Arial" w:hAnsi="Arial"/>
          <w:b/>
          <w:color w:val="1E293B"/>
          <w:sz w:val="20"/>
        </w:rPr>
        <w:t xml:space="preserve">item.toggleStatus(): Result&lt;void, DomainError&gt; -&gt; </w:t>
      </w:r>
      <w:r>
        <w:rPr>
          <w:rFonts w:ascii="Arial" w:hAnsi="Arial"/>
          <w:color w:val="1E293B"/>
          <w:sz w:val="20"/>
        </w:rPr>
        <w:t>Invierte el valor booleano de completado. Emite DomesticItemStatusToggledEvent.</w:t>
      </w:r>
    </w:p>
    <w:p>
      <w:pPr>
        <w:pStyle w:val="ListBullet"/>
        <w:numPr>
          <w:ilvl w:val="0"/>
          <w:numId w:val="1"/>
        </w:numPr>
        <w:spacing w:lineRule="auto" w:line="276" w:before="0" w:after="60"/>
        <w:contextualSpacing/>
        <w:rPr/>
      </w:pPr>
      <w:r>
        <w:rPr>
          <w:rFonts w:ascii="Arial" w:hAnsi="Arial"/>
          <w:b/>
          <w:color w:val="1E293B"/>
          <w:sz w:val="20"/>
        </w:rPr>
        <w:t xml:space="preserve">item.scheduleDate(targetDate: Date, currentDate: Date): Result&lt;void, DomainError&gt; -&gt; </w:t>
      </w:r>
      <w:r>
        <w:rPr>
          <w:rFonts w:ascii="Arial" w:hAnsi="Arial"/>
          <w:color w:val="1E293B"/>
          <w:sz w:val="20"/>
        </w:rPr>
        <w:t>Asigna o actualiza la fecha de ejecución comprobando que targetDate &gt;= hoy. Emite DomesticItemScheduledEvent.</w:t>
      </w:r>
    </w:p>
    <w:p>
      <w:pPr>
        <w:pStyle w:val="ListBullet"/>
        <w:numPr>
          <w:ilvl w:val="0"/>
          <w:numId w:val="1"/>
        </w:numPr>
        <w:spacing w:lineRule="auto" w:line="276" w:before="0" w:after="60"/>
        <w:contextualSpacing/>
        <w:rPr/>
      </w:pPr>
      <w:r>
        <w:rPr>
          <w:rFonts w:ascii="Arial" w:hAnsi="Arial"/>
          <w:b/>
          <w:color w:val="1E293B"/>
          <w:sz w:val="20"/>
        </w:rPr>
        <w:t xml:space="preserve">item.unscheduleDate(): Result&lt;void, DomainError&gt; -&gt; </w:t>
      </w:r>
      <w:r>
        <w:rPr>
          <w:rFonts w:ascii="Arial" w:hAnsi="Arial"/>
          <w:color w:val="1E293B"/>
          <w:sz w:val="20"/>
        </w:rPr>
        <w:t>Desvincula la fecha de ejecución estableciéndola en null sin destruir el item. Emite DomesticItemUnscheduledEvent.</w:t>
      </w:r>
    </w:p>
    <w:p>
      <w:pPr>
        <w:pStyle w:val="Normal"/>
        <w:keepNext w:val="true"/>
        <w:spacing w:before="280" w:after="120"/>
        <w:rPr/>
      </w:pPr>
      <w:r>
        <w:rPr>
          <w:rFonts w:ascii="Arial" w:hAnsi="Arial"/>
          <w:b/>
          <w:color w:val="1B365D"/>
          <w:sz w:val="26"/>
        </w:rPr>
        <w:t>4. Catálogo de Eventos de Dominio (Domain Events)</w:t>
      </w:r>
    </w:p>
    <w:p>
      <w:pPr>
        <w:pStyle w:val="Normal"/>
        <w:spacing w:lineRule="auto" w:line="276" w:before="0" w:after="80"/>
        <w:rPr/>
      </w:pPr>
      <w:r>
        <w:rPr>
          <w:rFonts w:ascii="Arial" w:hAnsi="Arial"/>
          <w:i w:val="false"/>
          <w:color w:val="1E293B"/>
          <w:sz w:val="20"/>
        </w:rPr>
        <w:t>Los Eventos de Dominio representan hechos consumados en el pasado que son inmutables y notifican cambios de estado a otros módulos o subsistemas.</w:t>
      </w:r>
    </w:p>
    <w:tbl>
      <w:tblPr>
        <w:tblW w:w="9606"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3202"/>
        <w:gridCol w:w="3202"/>
        <w:gridCol w:w="3202"/>
      </w:tblGrid>
      <w:tr>
        <w:trPr/>
        <w:tc>
          <w:tcPr>
            <w:tcW w:w="3202" w:type="dxa"/>
            <w:tcBorders/>
            <w:shd w:fill="1B365D"/>
          </w:tcPr>
          <w:p>
            <w:pPr>
              <w:pStyle w:val="Normal"/>
              <w:widowControl/>
              <w:bidi w:val="0"/>
              <w:spacing w:lineRule="auto" w:line="276" w:before="0" w:after="200"/>
              <w:jc w:val="left"/>
              <w:rPr/>
            </w:pPr>
            <w:r>
              <w:rPr>
                <w:rFonts w:ascii="Arial" w:hAnsi="Arial"/>
                <w:b/>
                <w:color w:val="FFFFFF"/>
                <w:sz w:val="18"/>
              </w:rPr>
              <w:t>Evento de Dominio</w:t>
            </w:r>
          </w:p>
        </w:tc>
        <w:tc>
          <w:tcPr>
            <w:tcW w:w="3202" w:type="dxa"/>
            <w:tcBorders/>
            <w:shd w:fill="1B365D"/>
          </w:tcPr>
          <w:p>
            <w:pPr>
              <w:pStyle w:val="Normal"/>
              <w:widowControl/>
              <w:bidi w:val="0"/>
              <w:spacing w:lineRule="auto" w:line="276" w:before="0" w:after="200"/>
              <w:jc w:val="left"/>
              <w:rPr/>
            </w:pPr>
            <w:r>
              <w:rPr>
                <w:rFonts w:ascii="Arial" w:hAnsi="Arial"/>
                <w:b/>
                <w:color w:val="FFFFFF"/>
                <w:sz w:val="18"/>
              </w:rPr>
              <w:t>Cuándo se Dispara</w:t>
            </w:r>
          </w:p>
        </w:tc>
        <w:tc>
          <w:tcPr>
            <w:tcW w:w="3202" w:type="dxa"/>
            <w:tcBorders/>
            <w:shd w:fill="1B365D"/>
          </w:tcPr>
          <w:p>
            <w:pPr>
              <w:pStyle w:val="Normal"/>
              <w:widowControl/>
              <w:bidi w:val="0"/>
              <w:spacing w:lineRule="auto" w:line="276" w:before="0" w:after="200"/>
              <w:jc w:val="left"/>
              <w:rPr/>
            </w:pPr>
            <w:r>
              <w:rPr>
                <w:rFonts w:ascii="Arial" w:hAnsi="Arial"/>
                <w:b/>
                <w:color w:val="FFFFFF"/>
                <w:sz w:val="18"/>
              </w:rPr>
              <w:t>Payload Estructurado</w:t>
            </w:r>
          </w:p>
        </w:tc>
      </w:tr>
      <w:tr>
        <w:trPr/>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UserRegisteredEvent</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Tras persistir con éxito un nuevo usuario.</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userId, email, occurredOn }</w:t>
            </w:r>
          </w:p>
        </w:tc>
      </w:tr>
      <w:tr>
        <w:trPr/>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DomesticItemCreatedEvent</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Tras crear cualquier tarea, compra o limpieza.</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itemId, userId, modulo, prioridad, occurredOn }</w:t>
            </w:r>
          </w:p>
        </w:tc>
      </w:tr>
      <w:tr>
        <w:trPr/>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DomesticItemStatusToggledEvent</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Al marcar/desmarcar completado o comprado.</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itemId, userId, completado, occurredOn }</w:t>
            </w:r>
          </w:p>
        </w:tc>
      </w:tr>
      <w:tr>
        <w:trPr/>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DomesticItemRenamedEvent</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Al cambiar el nombre del item.</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itemId, userId, nuevoNombre, occurredOn }</w:t>
            </w:r>
          </w:p>
        </w:tc>
      </w:tr>
      <w:tr>
        <w:trPr/>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DomesticItemPriorityChangedEvent</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Al modificar la prioridad del item.</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itemId, userId, nuevaPrioridad, occurredOn }</w:t>
            </w:r>
          </w:p>
        </w:tc>
      </w:tr>
      <w:tr>
        <w:trPr/>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DomesticItemScheduledEvent</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Al arrastrar o fijar fecha en el calendario.</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itemId, userId, fechaEjecucion, fechaPrevia, occurredOn }</w:t>
            </w:r>
          </w:p>
        </w:tc>
      </w:tr>
      <w:tr>
        <w:trPr/>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DomesticItemUnscheduledEvent</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Al retirar la fecha mediante clic derecho.</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itemId, userId, fechaRetirada, occurredOn }</w:t>
            </w:r>
          </w:p>
        </w:tc>
      </w:tr>
      <w:tr>
        <w:trPr/>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DomesticItemDeletedEvent</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Al eliminar un elemento individual.</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itemId, userId, modulo, occurredOn }</w:t>
            </w:r>
          </w:p>
        </w:tc>
      </w:tr>
      <w:tr>
        <w:trPr/>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DomesticModuleListClearedEvent</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Al vaciar por completo la lista de un módulo.</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userId, modulo, totalBorrados, occurredOn }</w:t>
            </w:r>
          </w:p>
        </w:tc>
      </w:tr>
      <w:tr>
        <w:trPr/>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ShoppingListBulkScheduledEvent</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Al arrastrar la lista completa de compra.</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 userId, totalProductos, fechaAsignada, occurredOn }</w:t>
            </w:r>
          </w:p>
        </w:tc>
      </w:tr>
    </w:tbl>
    <w:p>
      <w:pPr>
        <w:pStyle w:val="Normal"/>
        <w:spacing w:before="0" w:after="80"/>
        <w:rPr/>
      </w:pPr>
      <w:r>
        <w:rPr/>
      </w:r>
    </w:p>
    <w:p>
      <w:pPr>
        <w:pStyle w:val="Normal"/>
        <w:keepNext w:val="true"/>
        <w:spacing w:before="280" w:after="120"/>
        <w:rPr>
          <w:rFonts w:ascii="Arial" w:hAnsi="Arial"/>
          <w:b/>
          <w:color w:val="1B365D"/>
          <w:sz w:val="26"/>
        </w:rPr>
      </w:pPr>
      <w:r>
        <w:rPr>
          <w:rFonts w:ascii="Arial" w:hAnsi="Arial"/>
          <w:b/>
          <w:color w:val="1B365D"/>
          <w:sz w:val="26"/>
        </w:rPr>
      </w:r>
    </w:p>
    <w:p>
      <w:pPr>
        <w:pStyle w:val="Normal"/>
        <w:spacing w:before="280" w:after="120"/>
        <w:rPr>
          <w:rFonts w:ascii="Arial" w:hAnsi="Arial"/>
          <w:b/>
          <w:color w:val="1B365D"/>
          <w:sz w:val="26"/>
        </w:rPr>
      </w:pPr>
      <w:r>
        <w:rPr>
          <w:rFonts w:ascii="Arial" w:hAnsi="Arial"/>
          <w:b/>
          <w:color w:val="1B365D"/>
          <w:sz w:val="26"/>
        </w:rPr>
      </w:r>
    </w:p>
    <w:p>
      <w:pPr>
        <w:pStyle w:val="Normal"/>
        <w:spacing w:before="280" w:after="120"/>
        <w:rPr>
          <w:rFonts w:ascii="Arial" w:hAnsi="Arial"/>
          <w:b/>
          <w:color w:val="1B365D"/>
          <w:sz w:val="26"/>
        </w:rPr>
      </w:pPr>
      <w:r>
        <w:rPr>
          <w:rFonts w:ascii="Arial" w:hAnsi="Arial"/>
          <w:b/>
          <w:color w:val="1B365D"/>
          <w:sz w:val="26"/>
        </w:rPr>
      </w:r>
    </w:p>
    <w:p>
      <w:pPr>
        <w:pStyle w:val="Normal"/>
        <w:spacing w:before="280" w:after="120"/>
        <w:rPr>
          <w:rFonts w:ascii="Arial" w:hAnsi="Arial"/>
          <w:b/>
          <w:color w:val="1B365D"/>
          <w:sz w:val="26"/>
        </w:rPr>
      </w:pPr>
      <w:r>
        <w:rPr>
          <w:rFonts w:ascii="Arial" w:hAnsi="Arial"/>
          <w:b/>
          <w:color w:val="1B365D"/>
          <w:sz w:val="26"/>
        </w:rPr>
      </w:r>
    </w:p>
    <w:p>
      <w:pPr>
        <w:pStyle w:val="Normal"/>
        <w:spacing w:before="280" w:after="120"/>
        <w:rPr>
          <w:rFonts w:ascii="Arial" w:hAnsi="Arial"/>
          <w:b/>
          <w:color w:val="1B365D"/>
          <w:sz w:val="26"/>
        </w:rPr>
      </w:pPr>
      <w:r>
        <w:rPr>
          <w:rFonts w:ascii="Arial" w:hAnsi="Arial"/>
          <w:b/>
          <w:color w:val="1B365D"/>
          <w:sz w:val="26"/>
        </w:rPr>
      </w:r>
    </w:p>
    <w:p>
      <w:pPr>
        <w:pStyle w:val="Normal"/>
        <w:spacing w:before="280" w:after="120"/>
        <w:rPr>
          <w:rFonts w:ascii="Arial" w:hAnsi="Arial"/>
          <w:b/>
          <w:color w:val="1B365D"/>
          <w:sz w:val="26"/>
        </w:rPr>
      </w:pPr>
      <w:r>
        <w:rPr>
          <w:rFonts w:ascii="Arial" w:hAnsi="Arial"/>
          <w:b/>
          <w:color w:val="1B365D"/>
          <w:sz w:val="26"/>
        </w:rPr>
      </w:r>
    </w:p>
    <w:p>
      <w:pPr>
        <w:pStyle w:val="Normal"/>
        <w:spacing w:before="280" w:after="120"/>
        <w:rPr>
          <w:rFonts w:ascii="Arial" w:hAnsi="Arial"/>
          <w:b/>
          <w:color w:val="1B365D"/>
          <w:sz w:val="26"/>
        </w:rPr>
      </w:pPr>
      <w:r>
        <w:rPr>
          <w:rFonts w:ascii="Arial" w:hAnsi="Arial"/>
          <w:b/>
          <w:color w:val="1B365D"/>
          <w:sz w:val="26"/>
        </w:rPr>
      </w:r>
    </w:p>
    <w:p>
      <w:pPr>
        <w:pStyle w:val="Normal"/>
        <w:spacing w:before="280" w:after="120"/>
        <w:rPr/>
      </w:pPr>
      <w:r>
        <w:rPr>
          <w:rFonts w:ascii="Arial" w:hAnsi="Arial"/>
          <w:b/>
          <w:color w:val="1B365D"/>
          <w:sz w:val="26"/>
        </w:rPr>
        <w:t>5. Matriz de Errores de Dominio (Patrón Result)</w:t>
      </w:r>
    </w:p>
    <w:p>
      <w:pPr>
        <w:pStyle w:val="Normal"/>
        <w:spacing w:lineRule="auto" w:line="276" w:before="0" w:after="80"/>
        <w:rPr/>
      </w:pPr>
      <w:r>
        <w:rPr>
          <w:rFonts w:ascii="Arial" w:hAnsi="Arial"/>
          <w:i w:val="false"/>
          <w:color w:val="1E293B"/>
          <w:sz w:val="20"/>
        </w:rPr>
        <w:t>Queda terminantemente prohibido lanzar excepciones (throw) para flujos previstos de negocio. Toda violación de regla se modela mediante códigos de error de dominio inmutables:</w:t>
      </w:r>
    </w:p>
    <w:p>
      <w:pPr>
        <w:pStyle w:val="Normal"/>
        <w:spacing w:lineRule="auto" w:line="276" w:before="0" w:after="80"/>
        <w:rPr>
          <w:rFonts w:ascii="Arial" w:hAnsi="Arial"/>
          <w:i w:val="false"/>
          <w:i w:val="false"/>
          <w:color w:val="1E293B"/>
          <w:sz w:val="20"/>
        </w:rPr>
      </w:pPr>
      <w:r>
        <w:rPr/>
      </w:r>
    </w:p>
    <w:tbl>
      <w:tblPr>
        <w:tblW w:w="9574"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3177"/>
        <w:gridCol w:w="3205"/>
        <w:gridCol w:w="3192"/>
      </w:tblGrid>
      <w:tr>
        <w:trPr/>
        <w:tc>
          <w:tcPr>
            <w:tcW w:w="3177" w:type="dxa"/>
            <w:tcBorders/>
            <w:shd w:fill="1B365D"/>
          </w:tcPr>
          <w:p>
            <w:pPr>
              <w:pStyle w:val="Normal"/>
              <w:widowControl/>
              <w:bidi w:val="0"/>
              <w:spacing w:lineRule="auto" w:line="276" w:before="0" w:after="200"/>
              <w:jc w:val="left"/>
              <w:rPr/>
            </w:pPr>
            <w:r>
              <w:rPr>
                <w:rFonts w:ascii="Arial" w:hAnsi="Arial"/>
                <w:b/>
                <w:color w:val="FFFFFF"/>
                <w:sz w:val="18"/>
              </w:rPr>
              <w:t>Código de Error</w:t>
            </w:r>
          </w:p>
        </w:tc>
        <w:tc>
          <w:tcPr>
            <w:tcW w:w="3205" w:type="dxa"/>
            <w:tcBorders/>
            <w:shd w:fill="1B365D"/>
          </w:tcPr>
          <w:p>
            <w:pPr>
              <w:pStyle w:val="Normal"/>
              <w:widowControl/>
              <w:bidi w:val="0"/>
              <w:spacing w:lineRule="auto" w:line="276" w:before="0" w:after="200"/>
              <w:jc w:val="left"/>
              <w:rPr/>
            </w:pPr>
            <w:r>
              <w:rPr>
                <w:rFonts w:ascii="Arial" w:hAnsi="Arial"/>
                <w:b/>
                <w:color w:val="FFFFFF"/>
                <w:sz w:val="18"/>
              </w:rPr>
              <w:t>Causa de Dominio / Invariante Violada</w:t>
            </w:r>
          </w:p>
        </w:tc>
        <w:tc>
          <w:tcPr>
            <w:tcW w:w="3192" w:type="dxa"/>
            <w:tcBorders/>
            <w:shd w:fill="1B365D"/>
          </w:tcPr>
          <w:p>
            <w:pPr>
              <w:pStyle w:val="Normal"/>
              <w:widowControl/>
              <w:bidi w:val="0"/>
              <w:spacing w:lineRule="auto" w:line="276" w:before="0" w:after="200"/>
              <w:jc w:val="left"/>
              <w:rPr/>
            </w:pPr>
            <w:r>
              <w:rPr>
                <w:rFonts w:ascii="Arial" w:hAnsi="Arial"/>
                <w:b/>
                <w:color w:val="FFFFFF"/>
                <w:sz w:val="18"/>
              </w:rPr>
              <w:t>Severidad</w:t>
            </w:r>
          </w:p>
        </w:tc>
      </w:tr>
      <w:tr>
        <w:trPr/>
        <w:tc>
          <w:tcPr>
            <w:tcW w:w="317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ERR_AUTH_INVALID_CREDENTIALS</w:t>
            </w:r>
          </w:p>
        </w:tc>
        <w:tc>
          <w:tcPr>
            <w:tcW w:w="3205"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Email o contraseña no coincidentes en proceso de login.</w:t>
            </w:r>
          </w:p>
        </w:tc>
        <w:tc>
          <w:tcPr>
            <w:tcW w:w="319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Business</w:t>
            </w:r>
          </w:p>
        </w:tc>
      </w:tr>
      <w:tr>
        <w:trPr/>
        <w:tc>
          <w:tcPr>
            <w:tcW w:w="317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ERR_AUTH_EMAIL_ALREADY_EXISTS</w:t>
            </w:r>
          </w:p>
        </w:tc>
        <w:tc>
          <w:tcPr>
            <w:tcW w:w="3205"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Intento de registro con email ya existente en la base de datos.</w:t>
            </w:r>
          </w:p>
        </w:tc>
        <w:tc>
          <w:tcPr>
            <w:tcW w:w="319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Business</w:t>
            </w:r>
          </w:p>
        </w:tc>
      </w:tr>
      <w:tr>
        <w:trPr/>
        <w:tc>
          <w:tcPr>
            <w:tcW w:w="317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ERR_AUTH_RATE_LIMIT_EXCEEDED</w:t>
            </w:r>
          </w:p>
        </w:tc>
        <w:tc>
          <w:tcPr>
            <w:tcW w:w="3205"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Superado el límite de 5 intentos fallidos en 15 minutos.</w:t>
            </w:r>
          </w:p>
        </w:tc>
        <w:tc>
          <w:tcPr>
            <w:tcW w:w="319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Security</w:t>
            </w:r>
          </w:p>
        </w:tc>
      </w:tr>
      <w:tr>
        <w:trPr/>
        <w:tc>
          <w:tcPr>
            <w:tcW w:w="317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ERR_ITEM_NAME_EMPTY</w:t>
            </w:r>
          </w:p>
        </w:tc>
        <w:tc>
          <w:tcPr>
            <w:tcW w:w="3205"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Intento de instanciar o renombrar item con cadena vacía.</w:t>
            </w:r>
          </w:p>
        </w:tc>
        <w:tc>
          <w:tcPr>
            <w:tcW w:w="319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Business</w:t>
            </w:r>
          </w:p>
        </w:tc>
      </w:tr>
      <w:tr>
        <w:trPr/>
        <w:tc>
          <w:tcPr>
            <w:tcW w:w="317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ERR_ITEM_NAME_TOO_LONG</w:t>
            </w:r>
          </w:p>
        </w:tc>
        <w:tc>
          <w:tcPr>
            <w:tcW w:w="3205"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Nombre de item superior a 120 caracteres.</w:t>
            </w:r>
          </w:p>
        </w:tc>
        <w:tc>
          <w:tcPr>
            <w:tcW w:w="319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Business</w:t>
            </w:r>
          </w:p>
        </w:tc>
      </w:tr>
      <w:tr>
        <w:trPr/>
        <w:tc>
          <w:tcPr>
            <w:tcW w:w="317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ERR_ITEM_DESC_TOO_LONG</w:t>
            </w:r>
          </w:p>
        </w:tc>
        <w:tc>
          <w:tcPr>
            <w:tcW w:w="3205"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Descripción de item superior a 1000 caracteres.</w:t>
            </w:r>
          </w:p>
        </w:tc>
        <w:tc>
          <w:tcPr>
            <w:tcW w:w="319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Business</w:t>
            </w:r>
          </w:p>
        </w:tc>
      </w:tr>
      <w:tr>
        <w:trPr/>
        <w:tc>
          <w:tcPr>
            <w:tcW w:w="317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ERR_ITEM_PAST_DATE_FORBIDDEN</w:t>
            </w:r>
          </w:p>
        </w:tc>
        <w:tc>
          <w:tcPr>
            <w:tcW w:w="3205"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Intento de programar un item en una fecha anterior al día actual.</w:t>
            </w:r>
          </w:p>
        </w:tc>
        <w:tc>
          <w:tcPr>
            <w:tcW w:w="319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Business</w:t>
            </w:r>
          </w:p>
        </w:tc>
      </w:tr>
      <w:tr>
        <w:trPr/>
        <w:tc>
          <w:tcPr>
            <w:tcW w:w="317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ERR_ITEM_NOT_FOUND</w:t>
            </w:r>
          </w:p>
        </w:tc>
        <w:tc>
          <w:tcPr>
            <w:tcW w:w="3205"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Identificador de item inexistente en el catálogo del usuario.</w:t>
            </w:r>
          </w:p>
        </w:tc>
        <w:tc>
          <w:tcPr>
            <w:tcW w:w="319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Business</w:t>
            </w:r>
          </w:p>
        </w:tc>
      </w:tr>
      <w:tr>
        <w:trPr/>
        <w:tc>
          <w:tcPr>
            <w:tcW w:w="3177"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ERR_ITEM_TENANT_MISMATCH</w:t>
            </w:r>
          </w:p>
        </w:tc>
        <w:tc>
          <w:tcPr>
            <w:tcW w:w="3205"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Intento de acceder a un item perteneciente a otro usuario (violación IDOR).</w:t>
            </w:r>
          </w:p>
        </w:tc>
        <w:tc>
          <w:tcPr>
            <w:tcW w:w="319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Critical</w:t>
            </w:r>
          </w:p>
        </w:tc>
      </w:tr>
      <w:tr>
        <w:trPr/>
        <w:tc>
          <w:tcPr>
            <w:tcW w:w="3177"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ERR_MODULE_EMPTY_BULK_ACTION</w:t>
            </w:r>
          </w:p>
        </w:tc>
        <w:tc>
          <w:tcPr>
            <w:tcW w:w="3205"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Intento de arrastre masivo o vaciado sobre una lista sin elementos.</w:t>
            </w:r>
          </w:p>
        </w:tc>
        <w:tc>
          <w:tcPr>
            <w:tcW w:w="319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Business</w:t>
            </w:r>
          </w:p>
        </w:tc>
      </w:tr>
    </w:tbl>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lineRule="auto" w:line="276" w:before="0" w:after="80"/>
        <w:rPr>
          <w:rFonts w:ascii="Arial" w:hAnsi="Arial"/>
          <w:i w:val="false"/>
          <w:i w:val="false"/>
          <w:color w:val="1E293B"/>
          <w:sz w:val="20"/>
        </w:rPr>
      </w:pPr>
      <w:r>
        <w:rPr/>
      </w:r>
    </w:p>
    <w:p>
      <w:pPr>
        <w:pStyle w:val="Normal"/>
        <w:spacing w:before="0" w:after="40"/>
        <w:rPr/>
      </w:pPr>
      <w:r>
        <w:rPr>
          <w:rFonts w:ascii="Arial" w:hAnsi="Arial"/>
          <w:b/>
          <w:color w:val="1B365D"/>
          <w:sz w:val="44"/>
        </w:rPr>
        <w:t>CENTRA-T · MODULE MAP</w:t>
      </w:r>
    </w:p>
    <w:p>
      <w:pPr>
        <w:pStyle w:val="Normal"/>
        <w:spacing w:before="0" w:after="280"/>
        <w:rPr/>
      </w:pPr>
      <w:r>
        <w:rPr>
          <w:rFonts w:ascii="Arial" w:hAnsi="Arial"/>
          <w:i/>
          <w:color w:val="64748B"/>
          <w:sz w:val="22"/>
        </w:rPr>
        <w:t>Documento Canónico 05 de 10 · Topografía Física y Screaming Architecture · Método zug</w:t>
      </w:r>
    </w:p>
    <w:p>
      <w:pPr>
        <w:pStyle w:val="Normal"/>
        <w:keepNext w:val="true"/>
        <w:spacing w:before="280" w:after="120"/>
        <w:rPr/>
      </w:pPr>
      <w:r>
        <w:rPr>
          <w:rFonts w:ascii="Arial" w:hAnsi="Arial"/>
          <w:b/>
          <w:color w:val="1B365D"/>
          <w:sz w:val="26"/>
        </w:rPr>
        <w:t>1. Principios de Modularización y Screaming Architecture</w:t>
      </w:r>
    </w:p>
    <w:p>
      <w:pPr>
        <w:pStyle w:val="Normal"/>
        <w:spacing w:lineRule="auto" w:line="276" w:before="0" w:after="80"/>
        <w:rPr/>
      </w:pPr>
      <w:r>
        <w:rPr>
          <w:rFonts w:ascii="Arial" w:hAnsi="Arial"/>
          <w:i w:val="false"/>
          <w:color w:val="1E293B"/>
          <w:sz w:val="20"/>
        </w:rPr>
        <w:t>El Module Map establece la topografía física inmutable del repositorio backend de Centra-T. Se rige por los principios de Screaming Architecture y MVC Modular bajo NestJS: la estructura de carpetas 'grita' el dominio del negocio (gestión doméstica, autenticación, usuarios, tareas, compras y limpieza), y no los detalles de los frameworks subyacentes.</w:t>
      </w:r>
    </w:p>
    <w:p>
      <w:pPr>
        <w:pStyle w:val="ListBullet"/>
        <w:numPr>
          <w:ilvl w:val="0"/>
          <w:numId w:val="1"/>
        </w:numPr>
        <w:spacing w:lineRule="auto" w:line="276" w:before="0" w:after="60"/>
        <w:contextualSpacing/>
        <w:rPr/>
      </w:pPr>
      <w:r>
        <w:rPr>
          <w:rFonts w:ascii="Arial" w:hAnsi="Arial"/>
          <w:b/>
          <w:color w:val="1E293B"/>
          <w:sz w:val="20"/>
        </w:rPr>
        <w:t xml:space="preserve">Modularización Orientada al Dominio: </w:t>
      </w:r>
      <w:r>
        <w:rPr>
          <w:rFonts w:ascii="Arial" w:hAnsi="Arial"/>
          <w:color w:val="1E293B"/>
          <w:sz w:val="20"/>
        </w:rPr>
        <w:t>El código se organiza estrictamente por módulos de negocio verticales autocontenidos (authentication, users, tasks, shopping, cleaning). Cada módulo agrupa sus propios Controladores (C), Servicios/Entidades (M) y DTOs (V).</w:t>
      </w:r>
    </w:p>
    <w:p>
      <w:pPr>
        <w:pStyle w:val="ListBullet"/>
        <w:numPr>
          <w:ilvl w:val="0"/>
          <w:numId w:val="1"/>
        </w:numPr>
        <w:spacing w:lineRule="auto" w:line="276" w:before="0" w:after="60"/>
        <w:contextualSpacing/>
        <w:rPr/>
      </w:pPr>
      <w:r>
        <w:rPr>
          <w:rFonts w:ascii="Arial" w:hAnsi="Arial"/>
          <w:b/>
          <w:color w:val="1E293B"/>
          <w:sz w:val="20"/>
        </w:rPr>
        <w:t xml:space="preserve">Prohibición Absoluta de Cajones de Sastre: </w:t>
      </w:r>
      <w:r>
        <w:rPr>
          <w:rFonts w:ascii="Arial" w:hAnsi="Arial"/>
          <w:color w:val="1E293B"/>
          <w:sz w:val="20"/>
        </w:rPr>
        <w:t>Quedan terminantemente prohibidas en todo el proyecto carpetas genéricas como utils/, shared/, helpers/, common/ o misc/. Si una función o tipo es compartido por dos módulos, debe pertenecer a un módulo de soporte explícito o residir en el núcleo de dominio inmutable.</w:t>
      </w:r>
    </w:p>
    <w:p>
      <w:pPr>
        <w:pStyle w:val="ListBullet"/>
        <w:numPr>
          <w:ilvl w:val="0"/>
          <w:numId w:val="1"/>
        </w:numPr>
        <w:spacing w:lineRule="auto" w:line="276" w:before="0" w:after="60"/>
        <w:contextualSpacing/>
        <w:rPr/>
      </w:pPr>
      <w:r>
        <w:rPr>
          <w:rFonts w:ascii="Arial" w:hAnsi="Arial"/>
          <w:b/>
          <w:color w:val="1E293B"/>
          <w:sz w:val="20"/>
        </w:rPr>
        <w:t xml:space="preserve">Fronteras de Módulo Estancas: </w:t>
      </w:r>
      <w:r>
        <w:rPr>
          <w:rFonts w:ascii="Arial" w:hAnsi="Arial"/>
          <w:color w:val="1E293B"/>
          <w:sz w:val="20"/>
        </w:rPr>
        <w:t>Todo acceso cruzado entre módulos se realiza exclusivamente a través de los servicios exportados en el módulo NestJS (@Module({ exports: [...] })). Prohibido importar directamente repositorios o archivos internos de otro módulo.</w:t>
      </w:r>
    </w:p>
    <w:p>
      <w:pPr>
        <w:pStyle w:val="Normal"/>
        <w:keepNext w:val="true"/>
        <w:spacing w:before="280" w:after="120"/>
        <w:rPr/>
      </w:pPr>
      <w:r>
        <w:rPr>
          <w:rFonts w:ascii="Arial" w:hAnsi="Arial"/>
          <w:b/>
          <w:color w:val="1B365D"/>
          <w:sz w:val="26"/>
        </w:rPr>
        <w:t>2. Árbol Físico de Directorios (Backend NestJS)</w:t>
      </w:r>
    </w:p>
    <w:p>
      <w:pPr>
        <w:pStyle w:val="Normal"/>
        <w:spacing w:lineRule="auto" w:line="276" w:before="0" w:after="80"/>
        <w:rPr/>
      </w:pPr>
      <w:r>
        <w:rPr>
          <w:rFonts w:ascii="Arial" w:hAnsi="Arial"/>
          <w:i w:val="false"/>
          <w:color w:val="1E293B"/>
          <w:sz w:val="20"/>
        </w:rPr>
        <w:t>Estructura física canónica de /backend/src, sin desviaciones permitidas:</w:t>
      </w:r>
    </w:p>
    <w:p>
      <w:pPr>
        <w:pStyle w:val="Normal"/>
        <w:shd w:fill="F1F5F9"/>
        <w:spacing w:lineRule="auto" w:line="252" w:before="80" w:after="160"/>
        <w:rPr/>
      </w:pPr>
      <w:r>
        <w:rPr>
          <w:rFonts w:ascii="Courier New" w:hAnsi="Courier New"/>
          <w:color w:val="1E293B"/>
          <w:sz w:val="17"/>
        </w:rPr>
        <w:t>backend/</w:t>
        <w:br/>
        <w:t>├── src/</w:t>
        <w:br/>
        <w:t>│   ├── main.ts                           # Bootstrap de NestJS, ValidationPipe global y Helmet</w:t>
        <w:br/>
        <w:t>│   ├── app.module.ts                     # Módulo raíz: orquestador de módulos de negocio</w:t>
        <w:br/>
        <w:t>│   │</w:t>
        <w:br/>
        <w:t>│   ├── authentication/                   # MÓDULO: Gestión de Sesiones y Seguridad</w:t>
        <w:br/>
        <w:t>│   │   ├── authentication.module.ts</w:t>
        <w:br/>
        <w:t>│   │   ├── controllers/</w:t>
        <w:br/>
        <w:t>│   │   │   └── authentication.controller.ts   # POST /login, POST /logout</w:t>
        <w:br/>
        <w:t>│   │   ├── services/</w:t>
        <w:br/>
        <w:t>│   │   │   └── authentication.service.ts      # Verificación bcrypt, emisión de tokens</w:t>
        <w:br/>
        <w:t>│   │   ├── dto/</w:t>
        <w:br/>
        <w:t>│   │   │   ├── login-credentials.dto.ts       # Contrato de entrada Login</w:t>
        <w:br/>
        <w:t>│   │   │   └── auth-session-response.dto.ts   # Contrato de respuesta de sesión</w:t>
        <w:br/>
        <w:t>│   │   ├── guards/</w:t>
        <w:br/>
        <w:t>│   │   │   ├── session-auth.guard.ts          # Protección de rutas mediante cookie</w:t>
        <w:br/>
        <w:t>│   │   │   └── throttler-login.guard.ts       # Rate limiting 5 intentos / 15 min</w:t>
        <w:br/>
        <w:t>│   │   └── strategies/</w:t>
        <w:br/>
        <w:t>│   │       └── jwt-cookie.strategy.ts         # Extracción de token de cookie HttpOnly</w:t>
        <w:br/>
        <w:t>│   │</w:t>
        <w:br/>
        <w:t>│   ├── users/                            # MÓDULO: Identidad y Tenants</w:t>
        <w:br/>
        <w:t>│   │   ├── users.module.ts</w:t>
        <w:br/>
        <w:t>│   │   ├── controllers/</w:t>
        <w:br/>
        <w:t>│   │   │   └── users.controller.ts            # POST /users (Registro)</w:t>
        <w:br/>
        <w:t>│   │   ├── services/</w:t>
        <w:br/>
        <w:t>│   │   │   └── users.service.ts               # Lógica de creación y consulta de usuarios</w:t>
        <w:br/>
        <w:t>│   │   ├── entities/</w:t>
        <w:br/>
        <w:t>│   │   │   └── user.entity.ts                 # Entidad relacional PostgreSQL / TypeORM</w:t>
        <w:br/>
        <w:t>│   │   ├── dto/</w:t>
        <w:br/>
        <w:t>│   │   │   ├── register-user.dto.ts           # Contrato de registro validado</w:t>
        <w:br/>
        <w:t>│   │   │   └── user-response.dto.ts           # DTO de salida sin hash sensible</w:t>
        <w:br/>
        <w:t>│   │   └── repositories/</w:t>
        <w:br/>
        <w:t>│   │       └── user.repository.ts             # Persistencia y consultas parametrizadas</w:t>
        <w:br/>
        <w:t>│   │</w:t>
        <w:br/>
        <w:t>│   ├── tasks/                            # MÓDULO: Tareas Generales</w:t>
        <w:br/>
        <w:t>│   │   ├── tasks.module.ts</w:t>
        <w:br/>
        <w:t>│   │   ├── controllers/</w:t>
        <w:br/>
        <w:t>│   │   │   └── tasks.controller.ts            # CRUD REST /tasks, /tasks/calendar</w:t>
        <w:br/>
        <w:t>│   │   ├── services/</w:t>
        <w:br/>
        <w:t>│   │   │   └── tasks.service.ts               # Invariantes y mutaciones de tareas</w:t>
        <w:br/>
        <w:t>│   │   ├── entities/</w:t>
        <w:br/>
        <w:t>│   │   │   └── task-item.entity.ts            # Entidad relacional (modulo='tasks')</w:t>
        <w:br/>
        <w:t>│   │   ├── dto/</w:t>
        <w:br/>
        <w:t>│   │   │   ├── create-task.dto.ts</w:t>
        <w:br/>
        <w:t>│   │   │   ├── update-task.dto.ts</w:t>
        <w:br/>
        <w:t>│   │   │   └── schedule-task.dto.ts</w:t>
        <w:br/>
        <w:t>│   │   └── repositories/</w:t>
        <w:br/>
        <w:t>│   │       └── task.repository.ts             # Filtros estrictos WHERE user_id = :userId</w:t>
        <w:br/>
        <w:t>│   │</w:t>
        <w:br/>
        <w:t>│   ├── shopping/                         # MÓDULO: Compra Semanal</w:t>
        <w:br/>
        <w:t>│   │   ├── shopping.module.ts</w:t>
        <w:br/>
        <w:t>│   │   ├── controllers/</w:t>
        <w:br/>
        <w:t>│   │   │   └── shopping.controller.ts         # CRUD REST /shopping, /bulk-schedule</w:t>
        <w:br/>
        <w:t>│   │   ├── services/</w:t>
        <w:br/>
        <w:t>│   │   │   └── shopping.service.ts            # Lógica de compra y arrastre masivo</w:t>
        <w:br/>
        <w:t>│   │   ├── entities/</w:t>
        <w:br/>
        <w:t>│   │   │   └── shopping-item.entity.ts        # Entidad relacional (modulo='shopping')</w:t>
        <w:br/>
        <w:t>│   │   ├── dto/</w:t>
        <w:br/>
        <w:t>│   │   │   ├── create-shopping-item.dto.ts</w:t>
        <w:br/>
        <w:t>│   │   │   ├── update-shopping-item.dto.ts</w:t>
        <w:br/>
        <w:t>│   │   │   └── bulk-schedule-shopping.dto.ts  # DTO para arrastre en bloque</w:t>
        <w:br/>
        <w:t>│   │   └── repositories/</w:t>
        <w:br/>
        <w:t>│   │       └── shopping.repository.ts</w:t>
        <w:br/>
        <w:t>│   │</w:t>
        <w:br/>
        <w:t>│   └── cleaning/                         # MÓDULO: Tareas de Limpieza</w:t>
        <w:br/>
        <w:t>│       ├── cleaning.module.ts</w:t>
        <w:br/>
        <w:t>│       ├── controllers/</w:t>
        <w:br/>
        <w:t>│       │   └── cleaning.controller.ts         # CRUD REST /cleaning</w:t>
        <w:br/>
        <w:t>│       ├── services/</w:t>
        <w:br/>
        <w:t>│       │   └── cleaning.service.ts            # Lógica específica de limpieza doméstica</w:t>
        <w:br/>
        <w:t>│       ├── entities/</w:t>
        <w:br/>
        <w:t>│       │   └── cleaning-item.entity.ts        # Entidad relacional (modulo='cleaning')</w:t>
        <w:br/>
        <w:t>│       ├── dto/</w:t>
        <w:br/>
        <w:t>│       │   ├── create-cleaning.dto.ts</w:t>
        <w:br/>
        <w:t>│       │   └── update-cleaning.dto.ts</w:t>
        <w:br/>
        <w:t>│       └── repositories/</w:t>
        <w:br/>
        <w:t>│           └── cleaning.repository.ts</w:t>
      </w:r>
    </w:p>
    <w:p>
      <w:pPr>
        <w:pStyle w:val="Normal"/>
        <w:keepNext w:val="true"/>
        <w:spacing w:before="280" w:after="120"/>
        <w:rPr/>
      </w:pPr>
      <w:r>
        <w:rPr>
          <w:rFonts w:ascii="Arial" w:hAnsi="Arial"/>
          <w:b/>
          <w:color w:val="1B365D"/>
          <w:sz w:val="26"/>
        </w:rPr>
        <w:t>3. Desglose Exhaustivo por Módulo</w:t>
      </w:r>
    </w:p>
    <w:p>
      <w:pPr>
        <w:pStyle w:val="Normal"/>
        <w:keepNext w:val="true"/>
        <w:spacing w:before="200" w:after="80"/>
        <w:rPr/>
      </w:pPr>
      <w:r>
        <w:rPr>
          <w:rFonts w:ascii="Arial" w:hAnsi="Arial"/>
          <w:b/>
          <w:color w:val="4A6182"/>
          <w:sz w:val="23"/>
        </w:rPr>
        <w:t>Módulo: src/authentication/</w:t>
      </w:r>
    </w:p>
    <w:p>
      <w:pPr>
        <w:pStyle w:val="ListBullet"/>
        <w:numPr>
          <w:ilvl w:val="0"/>
          <w:numId w:val="1"/>
        </w:numPr>
        <w:spacing w:lineRule="auto" w:line="276" w:before="0" w:after="60"/>
        <w:contextualSpacing/>
        <w:rPr/>
      </w:pPr>
      <w:r>
        <w:rPr>
          <w:rFonts w:ascii="Arial" w:hAnsi="Arial"/>
          <w:b/>
          <w:color w:val="1E293B"/>
          <w:sz w:val="20"/>
        </w:rPr>
        <w:t xml:space="preserve">Responsabilidad Única: </w:t>
      </w:r>
      <w:r>
        <w:rPr>
          <w:rFonts w:ascii="Arial" w:hAnsi="Arial"/>
          <w:color w:val="1E293B"/>
          <w:sz w:val="20"/>
        </w:rPr>
        <w:t>Gestión exclusiva del ciclo de vida de la sesión, verificación criptográfica de credenciales, protección contra fuerza bruta y emisión de cookies seguras.</w:t>
      </w:r>
    </w:p>
    <w:p>
      <w:pPr>
        <w:pStyle w:val="ListBullet"/>
        <w:numPr>
          <w:ilvl w:val="0"/>
          <w:numId w:val="1"/>
        </w:numPr>
        <w:spacing w:lineRule="auto" w:line="276" w:before="0" w:after="60"/>
        <w:contextualSpacing/>
        <w:rPr/>
      </w:pPr>
      <w:r>
        <w:rPr>
          <w:rFonts w:ascii="Arial" w:hAnsi="Arial"/>
          <w:b/>
          <w:color w:val="1E293B"/>
          <w:sz w:val="20"/>
        </w:rPr>
        <w:t xml:space="preserve">Posesiones Físicas: </w:t>
      </w:r>
      <w:r>
        <w:rPr>
          <w:rFonts w:ascii="Arial" w:hAnsi="Arial"/>
          <w:color w:val="1E293B"/>
          <w:sz w:val="20"/>
        </w:rPr>
        <w:t>Controlador HTTP (/login, /logout), Servicio de autenticación, DTOs de credenciales, Guards de sesión y Throttler, Estrategia JWT Cookie.</w:t>
      </w:r>
    </w:p>
    <w:p>
      <w:pPr>
        <w:pStyle w:val="ListBullet"/>
        <w:numPr>
          <w:ilvl w:val="0"/>
          <w:numId w:val="1"/>
        </w:numPr>
        <w:spacing w:lineRule="auto" w:line="276" w:before="0" w:after="60"/>
        <w:contextualSpacing/>
        <w:rPr/>
      </w:pPr>
      <w:r>
        <w:rPr>
          <w:rFonts w:ascii="Arial" w:hAnsi="Arial"/>
          <w:b/>
          <w:color w:val="1E293B"/>
          <w:sz w:val="20"/>
        </w:rPr>
        <w:t xml:space="preserve">Exportaciones Públicas (API NestJS): </w:t>
      </w:r>
      <w:r>
        <w:rPr>
          <w:rFonts w:ascii="Arial" w:hAnsi="Arial"/>
          <w:color w:val="1E293B"/>
          <w:sz w:val="20"/>
        </w:rPr>
        <w:t>SessionAuthGuard (protector de rutas), AuthenticationService (validación interna de identidad).</w:t>
      </w:r>
    </w:p>
    <w:p>
      <w:pPr>
        <w:pStyle w:val="ListBullet"/>
        <w:numPr>
          <w:ilvl w:val="0"/>
          <w:numId w:val="1"/>
        </w:numPr>
        <w:spacing w:lineRule="auto" w:line="276" w:before="0" w:after="60"/>
        <w:contextualSpacing/>
        <w:rPr/>
      </w:pPr>
      <w:r>
        <w:rPr>
          <w:rFonts w:ascii="Arial" w:hAnsi="Arial"/>
          <w:b/>
          <w:color w:val="1E293B"/>
          <w:sz w:val="20"/>
        </w:rPr>
        <w:t xml:space="preserve">Dependencias Permitidas: </w:t>
      </w:r>
      <w:r>
        <w:rPr>
          <w:rFonts w:ascii="Arial" w:hAnsi="Arial"/>
          <w:color w:val="1E293B"/>
          <w:sz w:val="20"/>
        </w:rPr>
        <w:t>src/users/ (únicamente UsersService para consultar existencia y hash de usuario).</w:t>
      </w:r>
    </w:p>
    <w:p>
      <w:pPr>
        <w:pStyle w:val="Normal"/>
        <w:keepNext w:val="true"/>
        <w:spacing w:before="200" w:after="80"/>
        <w:rPr/>
      </w:pPr>
      <w:r>
        <w:rPr>
          <w:rFonts w:ascii="Arial" w:hAnsi="Arial"/>
          <w:b/>
          <w:color w:val="4A6182"/>
          <w:sz w:val="23"/>
        </w:rPr>
        <w:t>Módulo: src/users/</w:t>
      </w:r>
    </w:p>
    <w:p>
      <w:pPr>
        <w:pStyle w:val="ListBullet"/>
        <w:numPr>
          <w:ilvl w:val="0"/>
          <w:numId w:val="1"/>
        </w:numPr>
        <w:spacing w:lineRule="auto" w:line="276" w:before="0" w:after="60"/>
        <w:contextualSpacing/>
        <w:rPr/>
      </w:pPr>
      <w:r>
        <w:rPr>
          <w:rFonts w:ascii="Arial" w:hAnsi="Arial"/>
          <w:b/>
          <w:color w:val="1E293B"/>
          <w:sz w:val="20"/>
        </w:rPr>
        <w:t xml:space="preserve">Responsabilidad Única: </w:t>
      </w:r>
      <w:r>
        <w:rPr>
          <w:rFonts w:ascii="Arial" w:hAnsi="Arial"/>
          <w:color w:val="1E293B"/>
          <w:sz w:val="20"/>
        </w:rPr>
        <w:t>Gestión de la entidad User, persistencia de cuentas, verificación de unicidad de email y aislamiento estricto de tenant.</w:t>
      </w:r>
    </w:p>
    <w:p>
      <w:pPr>
        <w:pStyle w:val="ListBullet"/>
        <w:numPr>
          <w:ilvl w:val="0"/>
          <w:numId w:val="1"/>
        </w:numPr>
        <w:spacing w:lineRule="auto" w:line="276" w:before="0" w:after="60"/>
        <w:contextualSpacing/>
        <w:rPr/>
      </w:pPr>
      <w:r>
        <w:rPr>
          <w:rFonts w:ascii="Arial" w:hAnsi="Arial"/>
          <w:b/>
          <w:color w:val="1E293B"/>
          <w:sz w:val="20"/>
        </w:rPr>
        <w:t xml:space="preserve">Posesiones Físicas: </w:t>
      </w:r>
      <w:r>
        <w:rPr>
          <w:rFonts w:ascii="Arial" w:hAnsi="Arial"/>
          <w:color w:val="1E293B"/>
          <w:sz w:val="20"/>
        </w:rPr>
        <w:t>Controlador HTTP (/users), Servicio de usuarios, Entidad User relacional, DTOs de registro, Repositorio TypeORM.</w:t>
      </w:r>
    </w:p>
    <w:p>
      <w:pPr>
        <w:pStyle w:val="ListBullet"/>
        <w:numPr>
          <w:ilvl w:val="0"/>
          <w:numId w:val="1"/>
        </w:numPr>
        <w:spacing w:lineRule="auto" w:line="276" w:before="0" w:after="60"/>
        <w:contextualSpacing/>
        <w:rPr/>
      </w:pPr>
      <w:r>
        <w:rPr>
          <w:rFonts w:ascii="Arial" w:hAnsi="Arial"/>
          <w:b/>
          <w:color w:val="1E293B"/>
          <w:sz w:val="20"/>
        </w:rPr>
        <w:t xml:space="preserve">Exportaciones Públicas (API NestJS): </w:t>
      </w:r>
      <w:r>
        <w:rPr>
          <w:rFonts w:ascii="Arial" w:hAnsi="Arial"/>
          <w:color w:val="1E293B"/>
          <w:sz w:val="20"/>
        </w:rPr>
        <w:t>UsersService (creación y consulta de usuarios por ID o email), UserEntity.</w:t>
      </w:r>
    </w:p>
    <w:p>
      <w:pPr>
        <w:pStyle w:val="ListBullet"/>
        <w:numPr>
          <w:ilvl w:val="0"/>
          <w:numId w:val="1"/>
        </w:numPr>
        <w:spacing w:lineRule="auto" w:line="276" w:before="0" w:after="60"/>
        <w:contextualSpacing/>
        <w:rPr/>
      </w:pPr>
      <w:r>
        <w:rPr>
          <w:rFonts w:ascii="Arial" w:hAnsi="Arial"/>
          <w:b/>
          <w:color w:val="1E293B"/>
          <w:sz w:val="20"/>
        </w:rPr>
        <w:t xml:space="preserve">Dependencias Permitidas: </w:t>
      </w:r>
      <w:r>
        <w:rPr>
          <w:rFonts w:ascii="Arial" w:hAnsi="Arial"/>
          <w:color w:val="1E293B"/>
          <w:sz w:val="20"/>
        </w:rPr>
        <w:t>Ninguno (Módulo base independiente).</w:t>
      </w:r>
    </w:p>
    <w:p>
      <w:pPr>
        <w:pStyle w:val="Normal"/>
        <w:keepNext w:val="true"/>
        <w:spacing w:before="200" w:after="80"/>
        <w:rPr/>
      </w:pPr>
      <w:r>
        <w:rPr>
          <w:rFonts w:ascii="Arial" w:hAnsi="Arial"/>
          <w:b/>
          <w:color w:val="4A6182"/>
          <w:sz w:val="23"/>
        </w:rPr>
        <w:t>Módulo: src/tasks/</w:t>
      </w:r>
    </w:p>
    <w:p>
      <w:pPr>
        <w:pStyle w:val="ListBullet"/>
        <w:numPr>
          <w:ilvl w:val="0"/>
          <w:numId w:val="1"/>
        </w:numPr>
        <w:spacing w:lineRule="auto" w:line="276" w:before="0" w:after="60"/>
        <w:contextualSpacing/>
        <w:rPr/>
      </w:pPr>
      <w:r>
        <w:rPr>
          <w:rFonts w:ascii="Arial" w:hAnsi="Arial"/>
          <w:b/>
          <w:color w:val="1E293B"/>
          <w:sz w:val="20"/>
        </w:rPr>
        <w:t xml:space="preserve">Responsabilidad Única: </w:t>
      </w:r>
      <w:r>
        <w:rPr>
          <w:rFonts w:ascii="Arial" w:hAnsi="Arial"/>
          <w:color w:val="1E293B"/>
          <w:sz w:val="20"/>
        </w:rPr>
        <w:t>Gestión del dominio de Tareas Generales, operaciones de ciclo de vida (creación, edición, completado, eliminación y vaciado) y programación temporal en el calendario.</w:t>
      </w:r>
    </w:p>
    <w:p>
      <w:pPr>
        <w:pStyle w:val="ListBullet"/>
        <w:numPr>
          <w:ilvl w:val="0"/>
          <w:numId w:val="1"/>
        </w:numPr>
        <w:spacing w:lineRule="auto" w:line="276" w:before="0" w:after="60"/>
        <w:contextualSpacing/>
        <w:rPr/>
      </w:pPr>
      <w:r>
        <w:rPr>
          <w:rFonts w:ascii="Arial" w:hAnsi="Arial"/>
          <w:b/>
          <w:color w:val="1E293B"/>
          <w:sz w:val="20"/>
        </w:rPr>
        <w:t xml:space="preserve">Posesiones Físicas: </w:t>
      </w:r>
      <w:r>
        <w:rPr>
          <w:rFonts w:ascii="Arial" w:hAnsi="Arial"/>
          <w:color w:val="1E293B"/>
          <w:sz w:val="20"/>
        </w:rPr>
        <w:t>Controlador HTTP (/tasks), Servicio de tareas, Entidad TaskItem, DTOs de mutación y consulta por mes, Repositorio TypeORM.</w:t>
      </w:r>
    </w:p>
    <w:p>
      <w:pPr>
        <w:pStyle w:val="ListBullet"/>
        <w:numPr>
          <w:ilvl w:val="0"/>
          <w:numId w:val="1"/>
        </w:numPr>
        <w:spacing w:lineRule="auto" w:line="276" w:before="0" w:after="60"/>
        <w:contextualSpacing/>
        <w:rPr/>
      </w:pPr>
      <w:r>
        <w:rPr>
          <w:rFonts w:ascii="Arial" w:hAnsi="Arial"/>
          <w:b/>
          <w:color w:val="1E293B"/>
          <w:sz w:val="20"/>
        </w:rPr>
        <w:t xml:space="preserve">Exportaciones Públicas (API NestJS): </w:t>
      </w:r>
      <w:r>
        <w:rPr>
          <w:rFonts w:ascii="Arial" w:hAnsi="Arial"/>
          <w:color w:val="1E293B"/>
          <w:sz w:val="20"/>
        </w:rPr>
        <w:t>TasksService (consultas agregadas para el calendario mensual).</w:t>
      </w:r>
    </w:p>
    <w:p>
      <w:pPr>
        <w:pStyle w:val="ListBullet"/>
        <w:numPr>
          <w:ilvl w:val="0"/>
          <w:numId w:val="1"/>
        </w:numPr>
        <w:spacing w:lineRule="auto" w:line="276" w:before="0" w:after="60"/>
        <w:contextualSpacing/>
        <w:rPr/>
      </w:pPr>
      <w:r>
        <w:rPr>
          <w:rFonts w:ascii="Arial" w:hAnsi="Arial"/>
          <w:b/>
          <w:color w:val="1E293B"/>
          <w:sz w:val="20"/>
        </w:rPr>
        <w:t xml:space="preserve">Dependencias Permitidas: </w:t>
      </w:r>
      <w:r>
        <w:rPr>
          <w:rFonts w:ascii="Arial" w:hAnsi="Arial"/>
          <w:color w:val="1E293B"/>
          <w:sz w:val="20"/>
        </w:rPr>
        <w:t>src/authentication/ (para SessionAuthGuard y decorador @CurrentUser).</w:t>
      </w:r>
    </w:p>
    <w:p>
      <w:pPr>
        <w:pStyle w:val="Normal"/>
        <w:keepNext w:val="true"/>
        <w:spacing w:before="200" w:after="80"/>
        <w:rPr/>
      </w:pPr>
      <w:r>
        <w:rPr>
          <w:rFonts w:ascii="Arial" w:hAnsi="Arial"/>
          <w:b/>
          <w:color w:val="4A6182"/>
          <w:sz w:val="23"/>
        </w:rPr>
        <w:t>Módulo: src/shopping/</w:t>
      </w:r>
    </w:p>
    <w:p>
      <w:pPr>
        <w:pStyle w:val="ListBullet"/>
        <w:numPr>
          <w:ilvl w:val="0"/>
          <w:numId w:val="1"/>
        </w:numPr>
        <w:spacing w:lineRule="auto" w:line="276" w:before="0" w:after="60"/>
        <w:contextualSpacing/>
        <w:rPr/>
      </w:pPr>
      <w:r>
        <w:rPr>
          <w:rFonts w:ascii="Arial" w:hAnsi="Arial"/>
          <w:b/>
          <w:color w:val="1E293B"/>
          <w:sz w:val="20"/>
        </w:rPr>
        <w:t xml:space="preserve">Responsabilidad Única: </w:t>
      </w:r>
      <w:r>
        <w:rPr>
          <w:rFonts w:ascii="Arial" w:hAnsi="Arial"/>
          <w:color w:val="1E293B"/>
          <w:sz w:val="20"/>
        </w:rPr>
        <w:t>Gestión de la Lista de la Compra Semanal, operaciones de productos (creación, marcado como comprado) y la funcionalidad específica de arrastre masivo al calendario.</w:t>
      </w:r>
    </w:p>
    <w:p>
      <w:pPr>
        <w:pStyle w:val="ListBullet"/>
        <w:numPr>
          <w:ilvl w:val="0"/>
          <w:numId w:val="1"/>
        </w:numPr>
        <w:spacing w:lineRule="auto" w:line="276" w:before="0" w:after="60"/>
        <w:contextualSpacing/>
        <w:rPr/>
      </w:pPr>
      <w:r>
        <w:rPr>
          <w:rFonts w:ascii="Arial" w:hAnsi="Arial"/>
          <w:b/>
          <w:color w:val="1E293B"/>
          <w:sz w:val="20"/>
        </w:rPr>
        <w:t xml:space="preserve">Posesiones Físicas: </w:t>
      </w:r>
      <w:r>
        <w:rPr>
          <w:rFonts w:ascii="Arial" w:hAnsi="Arial"/>
          <w:color w:val="1E293B"/>
          <w:sz w:val="20"/>
        </w:rPr>
        <w:t>Controlador HTTP (/shopping), Servicio de compras, Entidad ShoppingItem, DTO de bulk-schedule, Repositorio TypeORM.</w:t>
      </w:r>
    </w:p>
    <w:p>
      <w:pPr>
        <w:pStyle w:val="ListBullet"/>
        <w:numPr>
          <w:ilvl w:val="0"/>
          <w:numId w:val="1"/>
        </w:numPr>
        <w:spacing w:lineRule="auto" w:line="276" w:before="0" w:after="60"/>
        <w:contextualSpacing/>
        <w:rPr/>
      </w:pPr>
      <w:r>
        <w:rPr>
          <w:rFonts w:ascii="Arial" w:hAnsi="Arial"/>
          <w:b/>
          <w:color w:val="1E293B"/>
          <w:sz w:val="20"/>
        </w:rPr>
        <w:t xml:space="preserve">Exportaciones Públicas (API NestJS): </w:t>
      </w:r>
      <w:r>
        <w:rPr>
          <w:rFonts w:ascii="Arial" w:hAnsi="Arial"/>
          <w:color w:val="1E293B"/>
          <w:sz w:val="20"/>
        </w:rPr>
        <w:t>ShoppingService (consultas agregadas para el calendario mensual).</w:t>
      </w:r>
    </w:p>
    <w:p>
      <w:pPr>
        <w:pStyle w:val="ListBullet"/>
        <w:numPr>
          <w:ilvl w:val="0"/>
          <w:numId w:val="1"/>
        </w:numPr>
        <w:spacing w:lineRule="auto" w:line="276" w:before="0" w:after="60"/>
        <w:contextualSpacing/>
        <w:rPr/>
      </w:pPr>
      <w:r>
        <w:rPr>
          <w:rFonts w:ascii="Arial" w:hAnsi="Arial"/>
          <w:b/>
          <w:color w:val="1E293B"/>
          <w:sz w:val="20"/>
        </w:rPr>
        <w:t xml:space="preserve">Dependencias Permitidas: </w:t>
      </w:r>
      <w:r>
        <w:rPr>
          <w:rFonts w:ascii="Arial" w:hAnsi="Arial"/>
          <w:color w:val="1E293B"/>
          <w:sz w:val="20"/>
        </w:rPr>
        <w:t>src/authentication/ (para SessionAuthGuard y decorador @CurrentUser).</w:t>
      </w:r>
    </w:p>
    <w:p>
      <w:pPr>
        <w:pStyle w:val="Normal"/>
        <w:keepNext w:val="true"/>
        <w:spacing w:before="200" w:after="80"/>
        <w:rPr/>
      </w:pPr>
      <w:r>
        <w:rPr>
          <w:rFonts w:ascii="Arial" w:hAnsi="Arial"/>
          <w:b/>
          <w:color w:val="4A6182"/>
          <w:sz w:val="23"/>
        </w:rPr>
        <w:t>Módulo: src/cleaning/</w:t>
      </w:r>
    </w:p>
    <w:p>
      <w:pPr>
        <w:pStyle w:val="ListBullet"/>
        <w:numPr>
          <w:ilvl w:val="0"/>
          <w:numId w:val="1"/>
        </w:numPr>
        <w:spacing w:lineRule="auto" w:line="276" w:before="0" w:after="60"/>
        <w:contextualSpacing/>
        <w:rPr/>
      </w:pPr>
      <w:r>
        <w:rPr>
          <w:rFonts w:ascii="Arial" w:hAnsi="Arial"/>
          <w:b/>
          <w:color w:val="1E293B"/>
          <w:sz w:val="20"/>
        </w:rPr>
        <w:t xml:space="preserve">Responsabilidad Única: </w:t>
      </w:r>
      <w:r>
        <w:rPr>
          <w:rFonts w:ascii="Arial" w:hAnsi="Arial"/>
          <w:color w:val="1E293B"/>
          <w:sz w:val="20"/>
        </w:rPr>
        <w:t>Gestión del catálogo de Tareas de Limpieza doméstica, seguimiento de tareas activas/realizadas y sincronización con el calendario interactivo.</w:t>
      </w:r>
    </w:p>
    <w:p>
      <w:pPr>
        <w:pStyle w:val="ListBullet"/>
        <w:numPr>
          <w:ilvl w:val="0"/>
          <w:numId w:val="1"/>
        </w:numPr>
        <w:spacing w:lineRule="auto" w:line="276" w:before="0" w:after="60"/>
        <w:contextualSpacing/>
        <w:rPr/>
      </w:pPr>
      <w:r>
        <w:rPr>
          <w:rFonts w:ascii="Arial" w:hAnsi="Arial"/>
          <w:b/>
          <w:color w:val="1E293B"/>
          <w:sz w:val="20"/>
        </w:rPr>
        <w:t xml:space="preserve">Posesiones Físicas: </w:t>
      </w:r>
      <w:r>
        <w:rPr>
          <w:rFonts w:ascii="Arial" w:hAnsi="Arial"/>
          <w:color w:val="1E293B"/>
          <w:sz w:val="20"/>
        </w:rPr>
        <w:t>Controlador HTTP (/cleaning), Servicio de limpieza, Entidad CleaningItem, DTOs de mutación y filtrado, Repositorio TypeORM.</w:t>
      </w:r>
    </w:p>
    <w:p>
      <w:pPr>
        <w:pStyle w:val="ListBullet"/>
        <w:numPr>
          <w:ilvl w:val="0"/>
          <w:numId w:val="1"/>
        </w:numPr>
        <w:spacing w:lineRule="auto" w:line="276" w:before="0" w:after="60"/>
        <w:contextualSpacing/>
        <w:rPr/>
      </w:pPr>
      <w:r>
        <w:rPr>
          <w:rFonts w:ascii="Arial" w:hAnsi="Arial"/>
          <w:b/>
          <w:color w:val="1E293B"/>
          <w:sz w:val="20"/>
        </w:rPr>
        <w:t xml:space="preserve">Exportaciones Públicas (API NestJS): </w:t>
      </w:r>
      <w:r>
        <w:rPr>
          <w:rFonts w:ascii="Arial" w:hAnsi="Arial"/>
          <w:color w:val="1E293B"/>
          <w:sz w:val="20"/>
        </w:rPr>
        <w:t>CleaningService (consultas agregadas para el calendario mensual).</w:t>
      </w:r>
    </w:p>
    <w:p>
      <w:pPr>
        <w:pStyle w:val="ListBullet"/>
        <w:numPr>
          <w:ilvl w:val="0"/>
          <w:numId w:val="1"/>
        </w:numPr>
        <w:spacing w:lineRule="auto" w:line="276" w:before="0" w:after="60"/>
        <w:contextualSpacing/>
        <w:rPr/>
      </w:pPr>
      <w:r>
        <w:rPr>
          <w:rFonts w:ascii="Arial" w:hAnsi="Arial"/>
          <w:b/>
          <w:color w:val="1E293B"/>
          <w:sz w:val="20"/>
        </w:rPr>
        <w:t xml:space="preserve">Dependencias Permitidas: </w:t>
      </w:r>
      <w:r>
        <w:rPr>
          <w:rFonts w:ascii="Arial" w:hAnsi="Arial"/>
          <w:color w:val="1E293B"/>
          <w:sz w:val="20"/>
        </w:rPr>
        <w:t>src/authentication/ (para SessionAuthGuard y decorador @CurrentUser).</w:t>
      </w:r>
    </w:p>
    <w:p>
      <w:pPr>
        <w:pStyle w:val="Normal"/>
        <w:keepNext w:val="true"/>
        <w:spacing w:before="280" w:after="120"/>
        <w:rPr/>
      </w:pPr>
      <w:r>
        <w:rPr>
          <w:rFonts w:ascii="Arial" w:hAnsi="Arial"/>
          <w:b/>
          <w:color w:val="1B365D"/>
          <w:sz w:val="26"/>
        </w:rPr>
        <w:t>4. Matriz de Dependencias Lícitas (Fronteras de Código)</w:t>
      </w:r>
    </w:p>
    <w:p>
      <w:pPr>
        <w:pStyle w:val="Normal"/>
        <w:spacing w:lineRule="auto" w:line="276" w:before="0" w:after="80"/>
        <w:rPr/>
      </w:pPr>
      <w:r>
        <w:rPr>
          <w:rFonts w:ascii="Arial" w:hAnsi="Arial"/>
          <w:i w:val="false"/>
          <w:color w:val="1E293B"/>
          <w:sz w:val="20"/>
        </w:rPr>
        <w:t>Para erradicar dependencias circulares y acoplamientos espagueti, se establece la matriz bidimensional de importaciones autorizadas y terminantemente prohibidas:</w:t>
      </w:r>
    </w:p>
    <w:p>
      <w:pPr>
        <w:pStyle w:val="Normal"/>
        <w:spacing w:lineRule="auto" w:line="276" w:before="0" w:after="80"/>
        <w:rPr>
          <w:rFonts w:ascii="Arial" w:hAnsi="Arial"/>
          <w:i w:val="false"/>
          <w:i w:val="false"/>
          <w:color w:val="1E293B"/>
          <w:sz w:val="20"/>
        </w:rPr>
      </w:pPr>
      <w:r>
        <w:rPr/>
      </w:r>
    </w:p>
    <w:tbl>
      <w:tblPr>
        <w:tblW w:w="9606"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3202"/>
        <w:gridCol w:w="3202"/>
        <w:gridCol w:w="3202"/>
      </w:tblGrid>
      <w:tr>
        <w:trPr/>
        <w:tc>
          <w:tcPr>
            <w:tcW w:w="3202" w:type="dxa"/>
            <w:tcBorders/>
            <w:shd w:fill="1B365D"/>
          </w:tcPr>
          <w:p>
            <w:pPr>
              <w:pStyle w:val="Normal"/>
              <w:spacing w:before="0" w:after="200"/>
              <w:rPr/>
            </w:pPr>
            <w:r>
              <w:rPr>
                <w:rFonts w:ascii="Arial" w:hAnsi="Arial"/>
                <w:b/>
                <w:color w:val="FFFFFF"/>
                <w:sz w:val="18"/>
              </w:rPr>
              <w:t>Módulo Origen</w:t>
            </w:r>
          </w:p>
        </w:tc>
        <w:tc>
          <w:tcPr>
            <w:tcW w:w="3202" w:type="dxa"/>
            <w:tcBorders/>
            <w:shd w:fill="1B365D"/>
          </w:tcPr>
          <w:p>
            <w:pPr>
              <w:pStyle w:val="Normal"/>
              <w:spacing w:before="0" w:after="200"/>
              <w:rPr/>
            </w:pPr>
            <w:r>
              <w:rPr>
                <w:rFonts w:ascii="Arial" w:hAnsi="Arial"/>
                <w:b/>
                <w:color w:val="FFFFFF"/>
                <w:sz w:val="18"/>
              </w:rPr>
              <w:t>Módulos a los que PUEDE importar</w:t>
            </w:r>
          </w:p>
        </w:tc>
        <w:tc>
          <w:tcPr>
            <w:tcW w:w="3202" w:type="dxa"/>
            <w:tcBorders/>
            <w:shd w:fill="1B365D"/>
          </w:tcPr>
          <w:p>
            <w:pPr>
              <w:pStyle w:val="Normal"/>
              <w:spacing w:before="0" w:after="200"/>
              <w:rPr/>
            </w:pPr>
            <w:r>
              <w:rPr>
                <w:rFonts w:ascii="Arial" w:hAnsi="Arial"/>
                <w:b/>
                <w:color w:val="FFFFFF"/>
                <w:sz w:val="18"/>
              </w:rPr>
              <w:t>Módulos PROHIBIDOS (Violación Arquitectónica)</w:t>
            </w:r>
          </w:p>
        </w:tc>
      </w:tr>
      <w:tr>
        <w:trPr/>
        <w:tc>
          <w:tcPr>
            <w:tcW w:w="3202" w:type="dxa"/>
            <w:tcBorders/>
            <w:shd w:fill="FFFFFF"/>
            <w:tcMar>
              <w:top w:w="80" w:type="dxa"/>
              <w:left w:w="100" w:type="dxa"/>
              <w:bottom w:w="80" w:type="dxa"/>
              <w:right w:w="100" w:type="dxa"/>
            </w:tcMar>
          </w:tcPr>
          <w:p>
            <w:pPr>
              <w:pStyle w:val="Normal"/>
              <w:spacing w:before="0" w:after="200"/>
              <w:rPr/>
            </w:pPr>
            <w:r>
              <w:rPr>
                <w:rFonts w:ascii="Arial" w:hAnsi="Arial"/>
                <w:b/>
                <w:color w:val="1E293B"/>
                <w:sz w:val="16"/>
              </w:rPr>
              <w:t>authentication</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users (solo UsersService)</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tasks, shopping, cleaning, base de datos directa sin UsersService</w:t>
            </w:r>
          </w:p>
        </w:tc>
      </w:tr>
      <w:tr>
        <w:trPr/>
        <w:tc>
          <w:tcPr>
            <w:tcW w:w="3202" w:type="dxa"/>
            <w:tcBorders/>
            <w:shd w:fill="F8FAFC"/>
            <w:tcMar>
              <w:top w:w="80" w:type="dxa"/>
              <w:left w:w="100" w:type="dxa"/>
              <w:bottom w:w="80" w:type="dxa"/>
              <w:right w:w="100" w:type="dxa"/>
            </w:tcMar>
          </w:tcPr>
          <w:p>
            <w:pPr>
              <w:pStyle w:val="Normal"/>
              <w:spacing w:before="0" w:after="200"/>
              <w:rPr/>
            </w:pPr>
            <w:r>
              <w:rPr>
                <w:rFonts w:ascii="Arial" w:hAnsi="Arial"/>
                <w:b/>
                <w:color w:val="1E293B"/>
                <w:sz w:val="16"/>
              </w:rPr>
              <w:t>users</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Ninguno (Módulo base de datos e identidad)</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authentication, tasks, shopping, cleaning</w:t>
            </w:r>
          </w:p>
        </w:tc>
      </w:tr>
      <w:tr>
        <w:trPr/>
        <w:tc>
          <w:tcPr>
            <w:tcW w:w="3202" w:type="dxa"/>
            <w:tcBorders/>
            <w:shd w:fill="FFFFFF"/>
            <w:tcMar>
              <w:top w:w="80" w:type="dxa"/>
              <w:left w:w="100" w:type="dxa"/>
              <w:bottom w:w="80" w:type="dxa"/>
              <w:right w:w="100" w:type="dxa"/>
            </w:tcMar>
          </w:tcPr>
          <w:p>
            <w:pPr>
              <w:pStyle w:val="Normal"/>
              <w:spacing w:before="0" w:after="200"/>
              <w:rPr/>
            </w:pPr>
            <w:r>
              <w:rPr>
                <w:rFonts w:ascii="Arial" w:hAnsi="Arial"/>
                <w:b/>
                <w:color w:val="1E293B"/>
                <w:sz w:val="16"/>
              </w:rPr>
              <w:t>tasks</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authentication (solo Guards/Decorators)</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shopping, cleaning, users (directo)</w:t>
            </w:r>
          </w:p>
        </w:tc>
      </w:tr>
      <w:tr>
        <w:trPr/>
        <w:tc>
          <w:tcPr>
            <w:tcW w:w="3202" w:type="dxa"/>
            <w:tcBorders/>
            <w:shd w:fill="F8FAFC"/>
            <w:tcMar>
              <w:top w:w="80" w:type="dxa"/>
              <w:left w:w="100" w:type="dxa"/>
              <w:bottom w:w="80" w:type="dxa"/>
              <w:right w:w="100" w:type="dxa"/>
            </w:tcMar>
          </w:tcPr>
          <w:p>
            <w:pPr>
              <w:pStyle w:val="Normal"/>
              <w:spacing w:before="0" w:after="200"/>
              <w:rPr/>
            </w:pPr>
            <w:r>
              <w:rPr>
                <w:rFonts w:ascii="Arial" w:hAnsi="Arial"/>
                <w:b/>
                <w:color w:val="1E293B"/>
                <w:sz w:val="16"/>
              </w:rPr>
              <w:t>shopping</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authentication (solo Guards/Decorators)</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tasks, cleaning, users (directo)</w:t>
            </w:r>
          </w:p>
        </w:tc>
      </w:tr>
      <w:tr>
        <w:trPr/>
        <w:tc>
          <w:tcPr>
            <w:tcW w:w="3202" w:type="dxa"/>
            <w:tcBorders/>
            <w:shd w:fill="FFFFFF"/>
            <w:tcMar>
              <w:top w:w="80" w:type="dxa"/>
              <w:left w:w="100" w:type="dxa"/>
              <w:bottom w:w="80" w:type="dxa"/>
              <w:right w:w="100" w:type="dxa"/>
            </w:tcMar>
          </w:tcPr>
          <w:p>
            <w:pPr>
              <w:pStyle w:val="Normal"/>
              <w:spacing w:before="0" w:after="200"/>
              <w:rPr/>
            </w:pPr>
            <w:r>
              <w:rPr>
                <w:rFonts w:ascii="Arial" w:hAnsi="Arial"/>
                <w:b/>
                <w:color w:val="1E293B"/>
                <w:sz w:val="16"/>
              </w:rPr>
              <w:t>cleaning</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authentication (solo Guards/Decorators)</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tasks, shopping, users (directo)</w:t>
            </w:r>
          </w:p>
        </w:tc>
      </w:tr>
      <w:tr>
        <w:trPr/>
        <w:tc>
          <w:tcPr>
            <w:tcW w:w="3202" w:type="dxa"/>
            <w:tcBorders/>
            <w:shd w:fill="F8FAFC"/>
            <w:tcMar>
              <w:top w:w="80" w:type="dxa"/>
              <w:left w:w="100" w:type="dxa"/>
              <w:bottom w:w="80" w:type="dxa"/>
              <w:right w:w="100" w:type="dxa"/>
            </w:tcMar>
          </w:tcPr>
          <w:p>
            <w:pPr>
              <w:pStyle w:val="Normal"/>
              <w:spacing w:before="0" w:after="200"/>
              <w:rPr/>
            </w:pPr>
            <w:r>
              <w:rPr>
                <w:rFonts w:ascii="Arial" w:hAnsi="Arial"/>
                <w:b/>
                <w:color w:val="1E293B"/>
                <w:sz w:val="16"/>
              </w:rPr>
              <w:t>Capas internas: Controllers</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Services propios, DTOs propios, Guards</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Repositories directos, Controllers de otros módulos</w:t>
            </w:r>
          </w:p>
        </w:tc>
      </w:tr>
      <w:tr>
        <w:trPr/>
        <w:tc>
          <w:tcPr>
            <w:tcW w:w="3202" w:type="dxa"/>
            <w:tcBorders/>
            <w:shd w:fill="FFFFFF"/>
            <w:tcMar>
              <w:top w:w="80" w:type="dxa"/>
              <w:left w:w="100" w:type="dxa"/>
              <w:bottom w:w="80" w:type="dxa"/>
              <w:right w:w="100" w:type="dxa"/>
            </w:tcMar>
          </w:tcPr>
          <w:p>
            <w:pPr>
              <w:pStyle w:val="Normal"/>
              <w:spacing w:before="0" w:after="200"/>
              <w:rPr/>
            </w:pPr>
            <w:r>
              <w:rPr>
                <w:rFonts w:ascii="Arial" w:hAnsi="Arial"/>
                <w:b/>
                <w:color w:val="1E293B"/>
                <w:sz w:val="16"/>
              </w:rPr>
              <w:t>Capas internas: Services</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Repositories propios, Entities propias, Services exportados</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Controllers, Express Request/Response, Frontend directo</w:t>
            </w:r>
          </w:p>
        </w:tc>
      </w:tr>
      <w:tr>
        <w:trPr/>
        <w:tc>
          <w:tcPr>
            <w:tcW w:w="3202" w:type="dxa"/>
            <w:tcBorders/>
            <w:shd w:fill="F8FAFC"/>
            <w:tcMar>
              <w:top w:w="80" w:type="dxa"/>
              <w:left w:w="100" w:type="dxa"/>
              <w:bottom w:w="80" w:type="dxa"/>
              <w:right w:w="100" w:type="dxa"/>
            </w:tcMar>
          </w:tcPr>
          <w:p>
            <w:pPr>
              <w:pStyle w:val="Normal"/>
              <w:spacing w:before="0" w:after="200"/>
              <w:rPr/>
            </w:pPr>
            <w:r>
              <w:rPr>
                <w:rFonts w:ascii="Arial" w:hAnsi="Arial"/>
                <w:b/>
                <w:color w:val="1E293B"/>
                <w:sz w:val="16"/>
              </w:rPr>
              <w:t>Capas internas: Entities</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Ninguno (Definición pura de esquema)</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Services, Controllers, DTOs</w:t>
            </w:r>
          </w:p>
        </w:tc>
      </w:tr>
    </w:tbl>
    <w:p>
      <w:pPr>
        <w:pStyle w:val="Normal"/>
        <w:spacing w:lineRule="auto" w:line="276" w:before="0" w:after="80"/>
        <w:rPr>
          <w:rFonts w:ascii="Arial" w:hAnsi="Arial"/>
          <w:i w:val="false"/>
          <w:i w:val="false"/>
          <w:color w:val="1E293B"/>
          <w:sz w:val="20"/>
        </w:rPr>
      </w:pPr>
      <w:r>
        <w:rPr/>
      </w:r>
    </w:p>
    <w:sectPr>
      <w:type w:val="nextPage"/>
      <w:pgSz w:w="11906" w:h="16838"/>
      <w:pgMar w:left="1152" w:right="1152" w:gutter="0" w:header="0" w:top="1152" w:footer="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14</Pages>
  <Words>4436</Words>
  <Characters>27607</Characters>
  <CharactersWithSpaces>32342</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2026-09-28T22:12:45Z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