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CENTRA-T · VISUAL STYLE GUIDE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Documento Canónico 08 de 10 · Sistema de Diseño, Tokens Visuales y Accesibilidad WCAG AA · Método zug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Principios Estéticos Funcionales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La estética visual de Centra-T abandona deliberadamente el estilo cian neón de Entity para adoptar una personalidad de productividad doméstica moderna, descansada y premium (Dark Slate / Obsidian Productivity). Toda decisión de diseño se fundamenta en cuatro directrices: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Jerarquía Silenciosa: </w:t>
      </w:r>
      <w:r>
        <w:rPr>
          <w:rFonts w:ascii="Arial" w:hAnsi="Arial"/>
          <w:color w:val="1E293B"/>
          <w:sz w:val="20"/>
        </w:rPr>
        <w:t>Los elementos de interfaz (marcos, separadores, fondos) actúan como un soporte sobrio que cede todo el protagonismo a los datos de las tareas y al calendario.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Color Semántico Funcional: </w:t>
      </w:r>
      <w:r>
        <w:rPr>
          <w:rFonts w:ascii="Arial" w:hAnsi="Arial"/>
          <w:color w:val="1E293B"/>
          <w:sz w:val="20"/>
        </w:rPr>
        <w:t>El color se reserva con exclusividad para transmitir estado (prioridades, completado, selección activa o alertas). Quedan prohibidos degradados o brillos decorativos sin valor informativo.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Ritmo Espacial Riguroso: </w:t>
      </w:r>
      <w:r>
        <w:rPr>
          <w:rFonts w:ascii="Arial" w:hAnsi="Arial"/>
          <w:color w:val="1E293B"/>
          <w:sz w:val="20"/>
        </w:rPr>
        <w:t>Márgenes, rellenos y tipografías estrictamente sincronizados bajo una escala geométrica de 4px / 8px, asegurando equilibrio óptico en cualquier resolución.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Accesibilidad Universal Nativa: </w:t>
      </w:r>
      <w:r>
        <w:rPr>
          <w:rFonts w:ascii="Arial" w:hAnsi="Arial"/>
          <w:color w:val="1E293B"/>
          <w:sz w:val="20"/>
        </w:rPr>
        <w:t>Ratios de contraste que superan la norma WCAG AA (mínimo 4.5:1 en texto regular y 3:1 en controles) con foco visual de teclado siempre observable.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Paleta de Color Semántica y Tokens de Diseño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Catálogo inmutable de variables CSS y tokens de diseño implementados en la raíz del 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Token de Diseño (CSS)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Valor HEX / HSL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Uso Semántico Exclusivo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--bg-canvas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#0B0F17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Fondo oscuro base de la superficie raíz (espacio perimetral).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--bg-surface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#131B26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Fondo principal de paneles elevados (Hub, Calendario, Tarjetas).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--bg-surface-elevated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#1A2433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Fondo de modales, popovers flotantes y menús contextuales.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--bg-surface-hover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#202D3F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Estado hover interactivo sobre items de lista y casillas de día.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--border-subdued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#233144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Bordes tenues de paneles principales y separadores de sección.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--border-focus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#3B82F6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Anillo de foco activo (:focus-visible) y casillas de calendario seleccionadas.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--color-text-primary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#F8FAFC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Texto principal de alto contraste (títulos, nombres de tareas).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--color-text-secondary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#94A3B8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Texto secundario (contadores, descripciones, etiquetas auxiliares).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--color-text-muted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#64748B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Placeholders, días inactivos de meses adyacentes y textos deshabilitados.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--color-accent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#3B82F6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Azul Cobalto para botón de acción principal y pestañas activas.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--color-accent-hover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#2563EB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Estado hover sobre botones primarios.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--priority-high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#EF4444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Rojo Coral para Prioridad Alta (fondo tenue rgba(239,68,68,0.15)).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--priority-medium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#F59E0B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Ámbar Cálido para Prioridad Media (fondo tenue rgba(245,158,11,0.15)).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--priority-low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#10B981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Verde Esmeralda para Prioridad Baja (fondo tenue rgba(16,185,129,0.15)).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--color-danger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#DC2626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Rojo destructivo para botón 'Eliminar Todo Definitivamente' y avisos críticos.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Jerarquía Tipográfica y Espaciado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Tipografía Base: </w:t>
      </w:r>
      <w:r>
        <w:rPr>
          <w:rFonts w:ascii="Arial" w:hAnsi="Arial"/>
          <w:color w:val="1E293B"/>
          <w:sz w:val="20"/>
        </w:rPr>
        <w:t>Familia única sans-serif funcional 'Inter', ui-sans-serif, system-ui, -apple-system, sans-serif. Optimiza la legibilidad en pantallas oscuras.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Escala Tipográfica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Display (H1): </w:t>
      </w:r>
      <w:r>
        <w:rPr>
          <w:rFonts w:ascii="Arial" w:hAnsi="Arial"/>
          <w:color w:val="1E293B"/>
          <w:sz w:val="20"/>
        </w:rPr>
        <w:t>24px (1.5rem) / Line-height: 1.25 / Weight: 700 (Bold) -&gt; Títulos del Workspace y Auth Card.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Heading (H2): </w:t>
      </w:r>
      <w:r>
        <w:rPr>
          <w:rFonts w:ascii="Arial" w:hAnsi="Arial"/>
          <w:color w:val="1E293B"/>
          <w:sz w:val="20"/>
        </w:rPr>
        <w:t>18px (1.125rem) / Line-height: 1.3 / Weight: 600 (Semibold) -&gt; Cabecera de mes del Calendario.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Subheading (H3): </w:t>
      </w:r>
      <w:r>
        <w:rPr>
          <w:rFonts w:ascii="Arial" w:hAnsi="Arial"/>
          <w:color w:val="1E293B"/>
          <w:sz w:val="20"/>
        </w:rPr>
        <w:t>14px (0.875rem) / Line-height: 1.35 / Weight: 600 (Semibold) -&gt; Títulos de acordeones del Hub y modales.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Body (Texto estándar): </w:t>
      </w:r>
      <w:r>
        <w:rPr>
          <w:rFonts w:ascii="Arial" w:hAnsi="Arial"/>
          <w:color w:val="1E293B"/>
          <w:sz w:val="20"/>
        </w:rPr>
        <w:t>13px (0.8125rem) / Line-height: 1.4 / Weight: 500 (Medium) -&gt; Nombres de tareas en listas y casillas de días.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Caption / Badge: </w:t>
      </w:r>
      <w:r>
        <w:rPr>
          <w:rFonts w:ascii="Arial" w:hAnsi="Arial"/>
          <w:color w:val="1E293B"/>
          <w:sz w:val="20"/>
        </w:rPr>
        <w:t>11px (0.6875rem) / Line-height: 1.2 / Weight: 600 / Letter-spacing: 0.05em -&gt; Badges de prioridad y contadores.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Escala de Espaciado y Radios de Borde (Sistema Base 4px)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Escala de Margen/Padding: </w:t>
      </w:r>
      <w:r>
        <w:rPr>
          <w:rFonts w:ascii="Arial" w:hAnsi="Arial"/>
          <w:color w:val="1E293B"/>
          <w:sz w:val="20"/>
        </w:rPr>
        <w:t>4px (--space-1), 8px (--space-2), 12px (--space-3), 16px (--space-4), 20px (--space-5), 24px (--space-6), 32px (--space-8).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Radios de Borde (Border Radius): </w:t>
      </w:r>
      <w:r>
        <w:rPr>
          <w:rFonts w:ascii="Arial" w:hAnsi="Arial"/>
          <w:color w:val="1E293B"/>
          <w:sz w:val="20"/>
        </w:rPr>
        <w:t>Paneles principales (Hub y Calendario): 14px; Tarjetas de acordeón y modales: 10px; Botones, inputs y badges: 6px a 8px; Círculos de estado: 50% (pill).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Componentes Base e Interacción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Botón Primario [Guardar / Entrar]: </w:t>
      </w:r>
      <w:r>
        <w:rPr>
          <w:rFonts w:ascii="Arial" w:hAnsi="Arial"/>
          <w:color w:val="1E293B"/>
          <w:sz w:val="20"/>
        </w:rPr>
        <w:t>Fondo --color-accent (#3B82F6), texto blanco, borde transparente. Hover: #2563EB. Active: escala 0.98. Focus: anillo 2px azul con 1px de offset.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Botón Secundario [Filtrar / Reordenar / Cancelar]: </w:t>
      </w:r>
      <w:r>
        <w:rPr>
          <w:rFonts w:ascii="Arial" w:hAnsi="Arial"/>
          <w:color w:val="1E293B"/>
          <w:sz w:val="20"/>
        </w:rPr>
        <w:t>Fondo transparente con borde tenue --border-subdued (#233144), texto #F8FAFC. Hover: fondo #202D3F y borde resaltado.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Botón Destructivo [Eliminar / Vaciar]: </w:t>
      </w:r>
      <w:r>
        <w:rPr>
          <w:rFonts w:ascii="Arial" w:hAnsi="Arial"/>
          <w:color w:val="1E293B"/>
          <w:sz w:val="20"/>
        </w:rPr>
        <w:t>Fondo transparente con borde rojo tenue. Hover: fondo #DC2626 y texto blanco para advertir de consecuencias destructivas.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Campos de Entrada (Input &amp; Textarea): </w:t>
      </w:r>
      <w:r>
        <w:rPr>
          <w:rFonts w:ascii="Arial" w:hAnsi="Arial"/>
          <w:color w:val="1E293B"/>
          <w:sz w:val="20"/>
        </w:rPr>
        <w:t>Fondo #0E141D, borde 1px sólido #233144, texto #F8FAFC, padding 8px 12px, border-radius 6px. Focus: borde #3B82F6 sin outline por defecto.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Checkbox de Completado: </w:t>
      </w:r>
      <w:r>
        <w:rPr>
          <w:rFonts w:ascii="Arial" w:hAnsi="Arial"/>
          <w:color w:val="1E293B"/>
          <w:sz w:val="20"/>
        </w:rPr>
        <w:t>Caja cuadrada de 18x18px con border-radius de 4px. Desmarcado: borde #475569. Marcado: fondo #3B82F6 con icono check blanco y texto de la tarea tachado con opacidad 0.6.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Directrices de Accesibilidad Visual (WCAG AA)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Ratios de Contraste Certificados: </w:t>
      </w:r>
      <w:r>
        <w:rPr>
          <w:rFonts w:ascii="Arial" w:hAnsi="Arial"/>
          <w:color w:val="1E293B"/>
          <w:sz w:val="20"/>
        </w:rPr>
        <w:t>Texto principal (#F8FAFC sobre fondo #131B26): Ratio de 14.8:1 (Supera con creces el estándar de 4.5:1). Texto secundario (#94A3B8): Ratio de 5.2:1.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No Dependencia Exclusiva del Color: </w:t>
      </w:r>
      <w:r>
        <w:rPr>
          <w:rFonts w:ascii="Arial" w:hAnsi="Arial"/>
          <w:color w:val="1E293B"/>
          <w:sz w:val="20"/>
        </w:rPr>
        <w:t>La prioridad nunca se transmite únicamente por el color del badge (rojo, amarillo, verde): va acompañada obligatoriamente de la palabra 'Alta', 'Media' o 'Baja' y su atributo aria-label correspondiente.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Navegación por Teclado y Foco Visible: </w:t>
      </w:r>
      <w:r>
        <w:rPr>
          <w:rFonts w:ascii="Arial" w:hAnsi="Arial"/>
          <w:color w:val="1E293B"/>
          <w:sz w:val="20"/>
        </w:rPr>
        <w:t>Cualquier elemento interactivo alcanzado con la tecla TAB despliega un anillo visible de 2px sólido en color azul cobalto (--border-focus) con 2px de separación perimetral.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Tamaño Mínimo de Objetivos Táctiles: </w:t>
      </w:r>
      <w:r>
        <w:rPr>
          <w:rFonts w:ascii="Arial" w:hAnsi="Arial"/>
          <w:color w:val="1E293B"/>
          <w:sz w:val="20"/>
        </w:rPr>
        <w:t>Todos los controles interactivos (botones, checkboxes, flechas de mes) tienen un área clicable mínima de 36x36px para garantizar precisión táctil.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