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CENTRA-T · VISUAL VALIDATION (QA)</w:t>
      </w:r>
    </w:p>
    <w:p>
      <w:pPr>
        <w:spacing w:before="0" w:after="280"/>
      </w:pPr>
      <w:r>
        <w:rPr>
          <w:rFonts w:ascii="Arial" w:hAnsi="Arial"/>
          <w:i/>
          <w:color w:val="64748B"/>
          <w:sz w:val="22"/>
        </w:rPr>
        <w:t>Documento Canónico 10 de 10 · Catálogo Forense de Casos de Prueba Visuales y E2E · Método zug</w:t>
      </w:r>
    </w:p>
    <w:p>
      <w:pPr>
        <w:keepNext/>
        <w:spacing w:before="280" w:after="120"/>
      </w:pPr>
      <w:r>
        <w:rPr>
          <w:rFonts w:ascii="Arial" w:hAnsi="Arial"/>
          <w:b/>
          <w:color w:val="1B365D"/>
          <w:sz w:val="26"/>
        </w:rPr>
        <w:t>1. Metodología de Validación Frontend y Calidad Forense</w:t>
      </w:r>
    </w:p>
    <w:p>
      <w:pPr>
        <w:spacing w:before="0" w:after="80" w:line="276" w:lineRule="auto"/>
      </w:pPr>
      <w:r>
        <w:rPr>
          <w:rFonts w:ascii="Arial" w:hAnsi="Arial"/>
          <w:i w:val="0"/>
          <w:color w:val="1E293B"/>
          <w:sz w:val="20"/>
        </w:rPr>
        <w:t>El presente documento cierra la suite de los 10 Documentos Maestros de Centra-T estableciendo el catálogo formal e implacable de casos de prueba visuales, interactivos y de extremo a extremo (E2E). Toda implementación producida en las fases posteriores deberá superar estos criterios binarios (Pasa / Falla) para ser admitida en producción.</w:t>
      </w:r>
    </w:p>
    <w:p>
      <w:pPr>
        <w:pStyle w:val="ListBullet"/>
        <w:spacing w:before="0" w:after="60" w:line="276" w:lineRule="auto"/>
      </w:pPr>
      <w:r>
        <w:rPr>
          <w:rFonts w:ascii="Arial" w:hAnsi="Arial"/>
          <w:b/>
          <w:color w:val="1E293B"/>
          <w:sz w:val="20"/>
        </w:rPr>
        <w:t xml:space="preserve">Pruebas de Componentes Accesibles: </w:t>
      </w:r>
      <w:r>
        <w:rPr>
          <w:rFonts w:ascii="Arial" w:hAnsi="Arial"/>
          <w:color w:val="1E293B"/>
          <w:sz w:val="20"/>
        </w:rPr>
        <w:t>Pruebas unitarias y de integración de componentes orientadas al comportamiento humano mediante React Testing Library, utilizando selectores semánticos de accesibilidad (getByRole, getByLabelText). Queda prohibido buscar elementos por IDs internos o clases CSS cosméticas.</w:t>
      </w:r>
    </w:p>
    <w:p>
      <w:pPr>
        <w:pStyle w:val="ListBullet"/>
        <w:spacing w:before="0" w:after="60" w:line="276" w:lineRule="auto"/>
      </w:pPr>
      <w:r>
        <w:rPr>
          <w:rFonts w:ascii="Arial" w:hAnsi="Arial"/>
          <w:b/>
          <w:color w:val="1E293B"/>
          <w:sz w:val="20"/>
        </w:rPr>
        <w:t xml:space="preserve">Pruebas E2E Automatizadas: </w:t>
      </w:r>
      <w:r>
        <w:rPr>
          <w:rFonts w:ascii="Arial" w:hAnsi="Arial"/>
          <w:color w:val="1E293B"/>
          <w:sz w:val="20"/>
        </w:rPr>
        <w:t>Automatización de flujos críticos de usuario completos en navegadores reales mediante Playwright (Chromium, Firefox, WebKit). En caso de fallo, el pipeline captura de forma obligatoria trazas de red (.har), capturas de pantalla (.png) y grabaciones de vídeo (.webm).</w:t>
      </w:r>
    </w:p>
    <w:p>
      <w:pPr>
        <w:pStyle w:val="ListBullet"/>
        <w:spacing w:before="0" w:after="60" w:line="276" w:lineRule="auto"/>
      </w:pPr>
      <w:r>
        <w:rPr>
          <w:rFonts w:ascii="Arial" w:hAnsi="Arial"/>
          <w:b/>
          <w:color w:val="1E293B"/>
          <w:sz w:val="20"/>
        </w:rPr>
        <w:t xml:space="preserve">Auditoría de Accesibilidad (A11y): </w:t>
      </w:r>
      <w:r>
        <w:rPr>
          <w:rFonts w:ascii="Arial" w:hAnsi="Arial"/>
          <w:color w:val="1E293B"/>
          <w:sz w:val="20"/>
        </w:rPr>
        <w:t>Verificación automatizada en CI mediante axe-core para certificar el cumplimiento estricto del estándar de accesibilidad WCAG AA.</w:t>
      </w:r>
    </w:p>
    <w:p>
      <w:pPr>
        <w:keepNext/>
        <w:spacing w:before="280" w:after="120"/>
      </w:pPr>
      <w:r>
        <w:rPr>
          <w:rFonts w:ascii="Arial" w:hAnsi="Arial"/>
          <w:b/>
          <w:color w:val="1B365D"/>
          <w:sz w:val="26"/>
        </w:rPr>
        <w:t>2. Catálogo de Casos de Prueba Forenses (VV-XXX)</w:t>
      </w:r>
    </w:p>
    <w:p>
      <w:pPr>
        <w:keepNext/>
        <w:spacing w:before="200" w:after="80"/>
      </w:pPr>
      <w:r>
        <w:rPr>
          <w:rFonts w:ascii="Arial" w:hAnsi="Arial"/>
          <w:b/>
          <w:color w:val="4A6182"/>
          <w:sz w:val="23"/>
        </w:rPr>
        <w:t>VV-001: Autenticación Exitosa y Transición al Workspace</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Pantalla /auth/login (Tarjeta Auth)</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Usuario no autenticado, base de datos con cuenta activa registrada.</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Introducir email válido y contraseña correcta.</w:t>
      </w:r>
    </w:p>
    <w:p>
      <w:pPr>
        <w:pStyle w:val="ListBullet"/>
        <w:spacing w:before="0" w:after="60" w:line="276" w:lineRule="auto"/>
      </w:pPr>
      <w:r>
        <w:rPr>
          <w:rFonts w:ascii="Arial" w:hAnsi="Arial"/>
          <w:color w:val="1E293B"/>
          <w:sz w:val="20"/>
        </w:rPr>
        <w:t>2. Pulsar botón [Entrar].</w:t>
      </w:r>
    </w:p>
    <w:p>
      <w:pPr>
        <w:pStyle w:val="ListBullet"/>
        <w:spacing w:before="0" w:after="60" w:line="276" w:lineRule="auto"/>
      </w:pPr>
      <w:r>
        <w:rPr>
          <w:rFonts w:ascii="Arial" w:hAnsi="Arial"/>
          <w:color w:val="1E293B"/>
          <w:sz w:val="20"/>
        </w:rPr>
        <w:t>3. Observar activación de spinner en botón e inhabilitación de inputs.</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Recibe cabecera Set-Cookie HttpOnly. Redirección instantánea a /workspace con layout 1/3 (Hub) y 2/3 (Calendario) renderizado, mostrando email en la cabecera.</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Screenshot de /workspace con cookie de sesión activa y ausencia de errores en consola.</w:t>
      </w:r>
    </w:p>
    <w:p>
      <w:pPr>
        <w:keepNext/>
        <w:spacing w:before="200" w:after="80"/>
      </w:pPr>
      <w:r>
        <w:rPr>
          <w:rFonts w:ascii="Arial" w:hAnsi="Arial"/>
          <w:b/>
          <w:color w:val="4A6182"/>
          <w:sz w:val="23"/>
        </w:rPr>
        <w:t>VV-002: Bloqueo de Fechas Pasadas en Drag &amp; Drop (Decisión 1A)</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Hub (Lista de Tareas) &lt;-&gt; Calendario Mensual</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Usuario autenticado en /workspace con al menos 1 tarea sin fecha en el Hub.</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Iniciar arrastre (dragStart) de la tarea desde el Hub hacia el Calendario.</w:t>
      </w:r>
    </w:p>
    <w:p>
      <w:pPr>
        <w:pStyle w:val="ListBullet"/>
        <w:spacing w:before="0" w:after="60" w:line="276" w:lineRule="auto"/>
      </w:pPr>
      <w:r>
        <w:rPr>
          <w:rFonts w:ascii="Arial" w:hAnsi="Arial"/>
          <w:color w:val="1E293B"/>
          <w:sz w:val="20"/>
        </w:rPr>
        <w:t>2. Sobrevolar una casilla correspondiente a un día anterior a la fecha real del sistema.</w:t>
      </w:r>
    </w:p>
    <w:p>
      <w:pPr>
        <w:pStyle w:val="ListBullet"/>
        <w:spacing w:before="0" w:after="60" w:line="276" w:lineRule="auto"/>
      </w:pPr>
      <w:r>
        <w:rPr>
          <w:rFonts w:ascii="Arial" w:hAnsi="Arial"/>
          <w:color w:val="1E293B"/>
          <w:sz w:val="20"/>
        </w:rPr>
        <w:t>3. Soltar el cursor (drop) sobre el día pasado.</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La casilla del día no se ilumina como zona válida (isOver=false). Al soltar, la tarea retorna elásticamente a su posición original en el Hub. Se despliega toast: 'No se pueden programar tareas en fechas pasadas'. La base de datos no sufre mutación.</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Screenshot del toast de alerta y reporte de test Playwright en verde.</w:t>
      </w:r>
    </w:p>
    <w:p>
      <w:pPr>
        <w:keepNext/>
        <w:spacing w:before="200" w:after="80"/>
      </w:pPr>
      <w:r>
        <w:rPr>
          <w:rFonts w:ascii="Arial" w:hAnsi="Arial"/>
          <w:b/>
          <w:color w:val="4A6182"/>
          <w:sz w:val="23"/>
        </w:rPr>
        <w:t>VV-003: Alerta Modal de Conflicto al Mover Tarea Fechada (Decisión 4B)</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Lienzo Calendario / Hub</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Tarea con fecha asignada (ej. día 10 de octubre).</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Arrastrar la tarea desde el Hub o desde la casilla del día 10 hacia la casilla del día 25.</w:t>
      </w:r>
    </w:p>
    <w:p>
      <w:pPr>
        <w:pStyle w:val="ListBullet"/>
        <w:spacing w:before="0" w:after="60" w:line="276" w:lineRule="auto"/>
      </w:pPr>
      <w:r>
        <w:rPr>
          <w:rFonts w:ascii="Arial" w:hAnsi="Arial"/>
          <w:color w:val="1E293B"/>
          <w:sz w:val="20"/>
        </w:rPr>
        <w:t>2. Soltar el cursor sobre el día 25.</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Se abre obligatoriamente el modal de confirmación: 'Esta tarea ya está asignada al 10/10. ¿Deseas moverla al 25/10?'. Si se pulsa [Cancelar], la tarea permanece en el día 10. Si se pulsa [Mover], se actualiza la fecha, se retira el marcador del día 10 y aparece en el día 25.</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Screenshot del modal de confirmación y traza de red confirmando PATCH a /schedule.</w:t>
      </w:r>
    </w:p>
    <w:p>
      <w:pPr>
        <w:keepNext/>
        <w:spacing w:before="200" w:after="80"/>
      </w:pPr>
      <w:r>
        <w:rPr>
          <w:rFonts w:ascii="Arial" w:hAnsi="Arial"/>
          <w:b/>
          <w:color w:val="4A6182"/>
          <w:sz w:val="23"/>
        </w:rPr>
        <w:t>VV-004: Wizard de Creación en 3 Pasos y Rollback a Cero (Decisión 3A)</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Modal Asistente de Creación (Wizard)</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Acordeón de Limpieza desplegado en el Hub.</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Pulsar botón [+ Crear].</w:t>
      </w:r>
    </w:p>
    <w:p>
      <w:pPr>
        <w:pStyle w:val="ListBullet"/>
        <w:spacing w:before="0" w:after="60" w:line="276" w:lineRule="auto"/>
      </w:pPr>
      <w:r>
        <w:rPr>
          <w:rFonts w:ascii="Arial" w:hAnsi="Arial"/>
          <w:color w:val="1E293B"/>
          <w:sz w:val="20"/>
        </w:rPr>
        <w:t>2. Escribir 'Limpiar cristales salón' en el Paso 1 y pulsar [Siguiente].</w:t>
      </w:r>
    </w:p>
    <w:p>
      <w:pPr>
        <w:pStyle w:val="ListBullet"/>
        <w:spacing w:before="0" w:after="60" w:line="276" w:lineRule="auto"/>
      </w:pPr>
      <w:r>
        <w:rPr>
          <w:rFonts w:ascii="Arial" w:hAnsi="Arial"/>
          <w:color w:val="1E293B"/>
          <w:sz w:val="20"/>
        </w:rPr>
        <w:t>3. Escribir descripción en el Paso 2 y pulsar botón [Cancelar] (o presionar ESC).</w:t>
      </w:r>
    </w:p>
    <w:p>
      <w:pPr>
        <w:pStyle w:val="ListBullet"/>
        <w:spacing w:before="0" w:after="60" w:line="276" w:lineRule="auto"/>
      </w:pPr>
      <w:r>
        <w:rPr>
          <w:rFonts w:ascii="Arial" w:hAnsi="Arial"/>
          <w:color w:val="1E293B"/>
          <w:sz w:val="20"/>
        </w:rPr>
        <w:t>4. Volver a pulsar [+ Crear].</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El buffer temporal en memoria se destruye por completo al cancelar. Al reabrir el modal, el Paso 1 nace 100% limpio y vacío, sin rastros del texto anterior.</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Test de Testing Library verificando que input_nombre.value === '' tras reapertura.</w:t>
      </w:r>
    </w:p>
    <w:p>
      <w:pPr>
        <w:keepNext/>
        <w:spacing w:before="200" w:after="80"/>
      </w:pPr>
      <w:r>
        <w:rPr>
          <w:rFonts w:ascii="Arial" w:hAnsi="Arial"/>
          <w:b/>
          <w:color w:val="4A6182"/>
          <w:sz w:val="23"/>
        </w:rPr>
        <w:t>VV-005: Conmutación Optimista de Checkbox y Reactividad con Filtro</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Lista de Tareas Generales en el Hub</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Filtro activo configurado en 'Solo Pendientes' con 3 tareas visibles.</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Pulsar el checkbox de una de las tareas visibles para marcarla completada.</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El checkbox se marca de inmediato (&lt; 16ms) con tachado suave del texto. El contador de la cabecera disminuye (-1 pendiente). De forma reactiva e instantánea, la fila experimenta animación fade-out y desaparece de la vista activa por no cumplir el filtro.</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Grabación de vídeo Playwright demostrando transición fluida sin parpadeos.</w:t>
      </w:r>
    </w:p>
    <w:p>
      <w:pPr>
        <w:keepNext/>
        <w:spacing w:before="200" w:after="80"/>
      </w:pPr>
      <w:r>
        <w:rPr>
          <w:rFonts w:ascii="Arial" w:hAnsi="Arial"/>
          <w:b/>
          <w:color w:val="4A6182"/>
          <w:sz w:val="23"/>
        </w:rPr>
        <w:t>VV-006: Arrastre Masivo de Compra Semanal al Calendario</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Cabecera de Compra Semanal en el Hub</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Lista de Compra con 4 productos pendientes sin fecha asignada.</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Agarrar el control maestro 'Arrastrar Lista Completa' de la cabecera de compra.</w:t>
      </w:r>
    </w:p>
    <w:p>
      <w:pPr>
        <w:pStyle w:val="ListBullet"/>
        <w:spacing w:before="0" w:after="60" w:line="276" w:lineRule="auto"/>
      </w:pPr>
      <w:r>
        <w:rPr>
          <w:rFonts w:ascii="Arial" w:hAnsi="Arial"/>
          <w:color w:val="1E293B"/>
          <w:sz w:val="20"/>
        </w:rPr>
        <w:t>2. Soltar sobre una casilla de sábado futuro en el calendario.</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Aparece modal de confirmación: '¿Asignar el sábado como día de compra para 4 productos?'. Al confirmar, se emite POST /bulk-schedule, la casilla del sábado muestra el marcador consolidado de compra y los 4 productos en el Hub muestran su fecha.</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Screenshot de la casilla del calendario con el marcador especial de compra.</w:t>
      </w:r>
    </w:p>
    <w:p>
      <w:pPr>
        <w:keepNext/>
        <w:spacing w:before="200" w:after="80"/>
      </w:pPr>
      <w:r>
        <w:rPr>
          <w:rFonts w:ascii="Arial" w:hAnsi="Arial"/>
          <w:b/>
          <w:color w:val="4A6182"/>
          <w:sz w:val="23"/>
        </w:rPr>
        <w:t>VV-007: Desasignación de Fecha desde el Calendario (Clic Derecho)</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Casilla de Día del Calendario</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Día con al menos 1 marcador de tarea asignada.</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Hacer clic derecho sobre el marcador de la tarea en el calendario.</w:t>
      </w:r>
    </w:p>
    <w:p>
      <w:pPr>
        <w:pStyle w:val="ListBullet"/>
        <w:spacing w:before="0" w:after="60" w:line="276" w:lineRule="auto"/>
      </w:pPr>
      <w:r>
        <w:rPr>
          <w:rFonts w:ascii="Arial" w:hAnsi="Arial"/>
          <w:color w:val="1E293B"/>
          <w:sz w:val="20"/>
        </w:rPr>
        <w:t>2. Seleccionar opción [Quitar Fecha].</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El marcador desaparece de la casilla del calendario. La tarea permanece intacta en el desplegable del Hub, retornando a su estado original sin fecha asignada.</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Reporte de verificación confirmando que el registro existe en base de datos con fecha null.</w:t>
      </w:r>
    </w:p>
    <w:p>
      <w:pPr>
        <w:keepNext/>
        <w:spacing w:before="200" w:after="80"/>
      </w:pPr>
      <w:r>
        <w:rPr>
          <w:rFonts w:ascii="Arial" w:hAnsi="Arial"/>
          <w:b/>
          <w:color w:val="4A6182"/>
          <w:sz w:val="23"/>
        </w:rPr>
        <w:t>VV-008: Conmutación a Modo Offline Preventivo</w:t>
      </w:r>
    </w:p>
    <w:p>
      <w:pPr>
        <w:pStyle w:val="ListBullet"/>
        <w:spacing w:before="0" w:after="60" w:line="276" w:lineRule="auto"/>
      </w:pPr>
      <w:r>
        <w:rPr>
          <w:rFonts w:ascii="Arial" w:hAnsi="Arial"/>
          <w:b/>
          <w:color w:val="1E293B"/>
          <w:sz w:val="20"/>
        </w:rPr>
        <w:t xml:space="preserve">Componente / Superficie: </w:t>
      </w:r>
      <w:r>
        <w:rPr>
          <w:rFonts w:ascii="Arial" w:hAnsi="Arial"/>
          <w:color w:val="1E293B"/>
          <w:sz w:val="20"/>
        </w:rPr>
        <w:t>Barra Superior y Hub del Workspace</w:t>
      </w:r>
    </w:p>
    <w:p>
      <w:pPr>
        <w:pStyle w:val="ListBullet"/>
        <w:spacing w:before="0" w:after="60" w:line="276" w:lineRule="auto"/>
      </w:pPr>
      <w:r>
        <w:rPr>
          <w:rFonts w:ascii="Arial" w:hAnsi="Arial"/>
          <w:b/>
          <w:color w:val="1E293B"/>
          <w:sz w:val="20"/>
        </w:rPr>
        <w:t xml:space="preserve">Precondiciones: </w:t>
      </w:r>
      <w:r>
        <w:rPr>
          <w:rFonts w:ascii="Arial" w:hAnsi="Arial"/>
          <w:color w:val="1E293B"/>
          <w:sz w:val="20"/>
        </w:rPr>
        <w:t>Usuario navegando en /workspace. Simular corte de red (offline mode).</w:t>
      </w:r>
    </w:p>
    <w:p>
      <w:pPr>
        <w:spacing w:before="0" w:after="80" w:line="276" w:lineRule="auto"/>
      </w:pPr>
      <w:r>
        <w:rPr>
          <w:rFonts w:ascii="Arial" w:hAnsi="Arial"/>
          <w:i/>
          <w:color w:val="1E293B"/>
          <w:sz w:val="20"/>
        </w:rPr>
        <w:t>Pasos de Ejecución:</w:t>
      </w:r>
    </w:p>
    <w:p>
      <w:pPr>
        <w:pStyle w:val="ListBullet"/>
        <w:spacing w:before="0" w:after="60" w:line="276" w:lineRule="auto"/>
      </w:pPr>
      <w:r>
        <w:rPr>
          <w:rFonts w:ascii="Arial" w:hAnsi="Arial"/>
          <w:color w:val="1E293B"/>
          <w:sz w:val="20"/>
        </w:rPr>
        <w:t>1. Desconectar interfaz de red (navigator.onLine = false).</w:t>
      </w:r>
    </w:p>
    <w:p>
      <w:pPr>
        <w:pStyle w:val="ListBullet"/>
        <w:spacing w:before="0" w:after="60" w:line="276" w:lineRule="auto"/>
      </w:pPr>
      <w:r>
        <w:rPr>
          <w:rFonts w:ascii="Arial" w:hAnsi="Arial"/>
          <w:color w:val="1E293B"/>
          <w:sz w:val="20"/>
        </w:rPr>
        <w:t>2. Observar cabecera y botones de acción en el Hub.</w:t>
      </w:r>
    </w:p>
    <w:p>
      <w:pPr>
        <w:pStyle w:val="ListBullet"/>
        <w:spacing w:before="0" w:after="60" w:line="276" w:lineRule="auto"/>
      </w:pPr>
      <w:r>
        <w:rPr>
          <w:rFonts w:ascii="Arial" w:hAnsi="Arial"/>
          <w:b/>
          <w:color w:val="1E293B"/>
          <w:sz w:val="20"/>
        </w:rPr>
        <w:t xml:space="preserve">Resultado Esperado (Criterio Pasa/Falla): </w:t>
      </w:r>
      <w:r>
        <w:rPr>
          <w:rFonts w:ascii="Arial" w:hAnsi="Arial"/>
          <w:color w:val="1E293B"/>
          <w:sz w:val="20"/>
        </w:rPr>
        <w:t>Aparece banner superior de aviso 'Modo sin conexión'. Los botones [+ Crear] y [Vaciar] se inhabilitan visualmente. Los botones [Filtrar] y [Reordenar] permanecen activos permitiendo consulta local.</w:t>
      </w:r>
    </w:p>
    <w:p>
      <w:pPr>
        <w:pStyle w:val="ListBullet"/>
        <w:spacing w:before="0" w:after="60" w:line="276" w:lineRule="auto"/>
      </w:pPr>
      <w:r>
        <w:rPr>
          <w:rFonts w:ascii="Arial" w:hAnsi="Arial"/>
          <w:b/>
          <w:color w:val="1E293B"/>
          <w:sz w:val="20"/>
        </w:rPr>
        <w:t xml:space="preserve">Evidencia Forense Requerida: </w:t>
      </w:r>
      <w:r>
        <w:rPr>
          <w:rFonts w:ascii="Arial" w:hAnsi="Arial"/>
          <w:color w:val="1E293B"/>
          <w:sz w:val="20"/>
        </w:rPr>
        <w:t>Screenshot del banner Offline y botones inhabilitados conforme a especificación.</w:t>
      </w:r>
    </w:p>
    <w:p>
      <w:pPr>
        <w:spacing w:before="280" w:after="80"/>
      </w:pPr>
      <w:r>
        <w:rPr>
          <w:b/>
          <w:color w:val="0F172A"/>
          <w:sz w:val="22"/>
        </w:rPr>
        <w:t>VV-009: Registro Exitoso de Cuenta y Validación de Contraseñas</w:t>
      </w:r>
    </w:p>
    <w:p>
      <w:pPr>
        <w:spacing w:after="80"/>
      </w:pPr>
      <w:r>
        <w:rPr>
          <w:b/>
          <w:color w:val="1F2937"/>
          <w:sz w:val="19"/>
        </w:rPr>
        <w:t xml:space="preserve">Componente / Superficie: </w:t>
      </w:r>
      <w:r>
        <w:rPr>
          <w:color w:val="374151"/>
          <w:sz w:val="19"/>
        </w:rPr>
        <w:t>Pantalla /auth/login (Tarjeta de Acceso - Pestaña [Crear Cuenta])</w:t>
      </w:r>
    </w:p>
    <w:p>
      <w:pPr>
        <w:spacing w:after="80"/>
      </w:pPr>
      <w:r>
        <w:rPr>
          <w:b/>
          <w:color w:val="1F2937"/>
          <w:sz w:val="19"/>
        </w:rPr>
        <w:t xml:space="preserve">Precondiciones: </w:t>
      </w:r>
      <w:r>
        <w:rPr>
          <w:color w:val="374151"/>
          <w:sz w:val="19"/>
        </w:rPr>
        <w:t>Cliente Next.js sin cookie de sesión activa. Servidor NestJS operativo sin email registrado previamente.</w:t>
      </w:r>
    </w:p>
    <w:p>
      <w:pPr>
        <w:spacing w:after="80"/>
      </w:pPr>
      <w:r>
        <w:rPr>
          <w:b/>
          <w:color w:val="1F2937"/>
          <w:sz w:val="19"/>
        </w:rPr>
        <w:t>Pasos de Ejecución:</w:t>
        <w:br/>
      </w:r>
      <w:r>
        <w:rPr>
          <w:color w:val="374151"/>
          <w:sz w:val="19"/>
        </w:rPr>
        <w:t>1. Seleccionar la pestaña [Crear Cuenta] en la tarjeta central de autenticación.</w:t>
        <w:br/>
        <w:t>2. Introducir email válido (RFC 5322), contraseña con requisitos de seguridad (&gt;= 8 chars, 1 mayúscula, 1 número, 1 símbolo) y confirmación de contraseña dispar.</w:t>
        <w:br/>
        <w:t>3. Observar advertencia inline: 'Las contraseñas no coinciden' y botón inhabilitado.</w:t>
        <w:br/>
        <w:t>4. Corregir confirmación de contraseña para que sea idéntica y pulsar [Crear Cuenta].</w:t>
        <w:br/>
        <w:t>5. Observar activación de spinner en botón e inhabilitación de inputs durante la llamada POST /users.</w:t>
      </w:r>
    </w:p>
    <w:p>
      <w:pPr>
        <w:spacing w:after="80"/>
      </w:pPr>
      <w:r>
        <w:rPr>
          <w:b/>
          <w:color w:val="1F2937"/>
          <w:sz w:val="19"/>
        </w:rPr>
        <w:t xml:space="preserve">Resultado Esperado (Criterio Pasa/Falla): </w:t>
      </w:r>
      <w:r>
        <w:rPr>
          <w:color w:val="374151"/>
          <w:sz w:val="19"/>
        </w:rPr>
        <w:t>El backend persiste la nueva entidad User con hash bcrypt (coste 12) y UUID inmutable. Se emite automáticamente cookie session_token segura (HttpOnly, Secure, SameSite=Strict) y la aplicación navega fluidamente a /workspace mostrando el avatar y email del usuario. En caso de colisión de email, la API devuelve HTTP 409 y la UI muestra toast empático: 'El correo electrónico ya se encuentra registrado'.</w:t>
      </w:r>
    </w:p>
    <w:p>
      <w:pPr>
        <w:spacing w:after="80"/>
      </w:pPr>
      <w:r>
        <w:rPr>
          <w:b/>
          <w:color w:val="1F2937"/>
          <w:sz w:val="19"/>
        </w:rPr>
        <w:t xml:space="preserve">Evidencia Forense Requerida: </w:t>
      </w:r>
      <w:r>
        <w:rPr>
          <w:color w:val="374151"/>
          <w:sz w:val="19"/>
        </w:rPr>
        <w:t>Test automatizado Playwright en verde, captura de red verificando cabecera Set-Cookie tras 201 Created y comprobación de registro en base de datos.</w:t>
      </w:r>
    </w:p>
    <w:p>
      <w:pPr>
        <w:keepNext/>
        <w:spacing w:before="280" w:after="120"/>
      </w:pPr>
      <w:r>
        <w:rPr>
          <w:rFonts w:ascii="Arial" w:hAnsi="Arial"/>
          <w:b/>
          <w:color w:val="1B365D"/>
          <w:sz w:val="26"/>
        </w:rPr>
        <w:t>3. Matriz de Cobertura Honesta Frontend (TDD 100/80/0)</w:t>
      </w:r>
    </w:p>
    <w:p>
      <w:pPr>
        <w:spacing w:before="0" w:after="80" w:line="276" w:lineRule="auto"/>
      </w:pPr>
      <w:r>
        <w:rPr>
          <w:rFonts w:ascii="Arial" w:hAnsi="Arial"/>
          <w:i w:val="0"/>
          <w:color w:val="1E293B"/>
          <w:sz w:val="20"/>
        </w:rPr>
        <w:t>En cumplimiento estricto de la doctrina de ingeniería de ZUG_KNOWLEDGE_BASE.md, los Quality Gates automatizados exigirán los siguientes umbrales mínimos de cobertura probada:</w:t>
      </w:r>
    </w:p>
    <w:tbl>
      <w:tblPr>
        <w:tblW w:type="auto" w:w="0"/>
        <w:jc w:val="center"/>
        <w:tblLayout w:type="fixed"/>
        <w:tblLook w:firstColumn="1" w:firstRow="1" w:lastColumn="0" w:lastRow="0" w:noHBand="0" w:noVBand="1" w:val="04A0"/>
      </w:tblPr>
      <w:tblGrid>
        <w:gridCol w:w="3202"/>
        <w:gridCol w:w="3202"/>
        <w:gridCol w:w="3202"/>
      </w:tblGrid>
      <w:tr>
        <w:tc>
          <w:tcPr>
            <w:tcW w:type="dxa" w:w="3168"/>
            <w:shd w:fill="1B365D"/>
            <w:tcMar>
              <w:top w:w="100" w:type="dxa"/>
              <w:bottom w:w="100" w:type="dxa"/>
              <w:left w:w="120" w:type="dxa"/>
              <w:right w:w="120" w:type="dxa"/>
            </w:tcMar>
          </w:tcPr>
          <w:p>
            <w:r>
              <w:rPr>
                <w:rFonts w:ascii="Arial" w:hAnsi="Arial"/>
                <w:b/>
                <w:color w:val="FFFFFF"/>
                <w:sz w:val="17"/>
              </w:rPr>
              <w:t>Capa de Frontend</w:t>
            </w:r>
          </w:p>
        </w:tc>
        <w:tc>
          <w:tcPr>
            <w:tcW w:type="dxa" w:w="2592"/>
            <w:shd w:fill="1B365D"/>
            <w:tcMar>
              <w:top w:w="100" w:type="dxa"/>
              <w:bottom w:w="100" w:type="dxa"/>
              <w:left w:w="120" w:type="dxa"/>
              <w:right w:w="120" w:type="dxa"/>
            </w:tcMar>
          </w:tcPr>
          <w:p>
            <w:r>
              <w:rPr>
                <w:rFonts w:ascii="Arial" w:hAnsi="Arial"/>
                <w:b/>
                <w:color w:val="FFFFFF"/>
                <w:sz w:val="17"/>
              </w:rPr>
              <w:t>Umbral Mínimo Requerido</w:t>
            </w:r>
          </w:p>
        </w:tc>
        <w:tc>
          <w:tcPr>
            <w:tcW w:type="dxa" w:w="4032"/>
            <w:shd w:fill="1B365D"/>
            <w:tcMar>
              <w:top w:w="100" w:type="dxa"/>
              <w:bottom w:w="100" w:type="dxa"/>
              <w:left w:w="120" w:type="dxa"/>
              <w:right w:w="120" w:type="dxa"/>
            </w:tcMar>
          </w:tcPr>
          <w:p>
            <w:r>
              <w:rPr>
                <w:rFonts w:ascii="Arial" w:hAnsi="Arial"/>
                <w:b/>
                <w:color w:val="FFFFFF"/>
                <w:sz w:val="17"/>
              </w:rPr>
              <w:t>Objetivo de la Prueba</w:t>
            </w:r>
          </w:p>
        </w:tc>
      </w:tr>
      <w:tr>
        <w:tc>
          <w:tcPr>
            <w:tcW w:type="dxa" w:w="3168"/>
            <w:shd w:fill="FFFFFF"/>
            <w:tcMar>
              <w:top w:w="80" w:type="dxa"/>
              <w:bottom w:w="80" w:type="dxa"/>
              <w:left w:w="100" w:type="dxa"/>
              <w:right w:w="100" w:type="dxa"/>
            </w:tcMar>
          </w:tcPr>
          <w:p>
            <w:r>
              <w:rPr>
                <w:rFonts w:ascii="Arial" w:hAnsi="Arial"/>
                <w:b/>
                <w:color w:val="1E293B"/>
                <w:sz w:val="16"/>
              </w:rPr>
              <w:t>Lógica de Filtrado y Reordenación</w:t>
            </w:r>
          </w:p>
        </w:tc>
        <w:tc>
          <w:tcPr>
            <w:tcW w:type="dxa" w:w="2592"/>
            <w:shd w:fill="FFFFFF"/>
            <w:tcMar>
              <w:top w:w="80" w:type="dxa"/>
              <w:bottom w:w="80" w:type="dxa"/>
              <w:left w:w="100" w:type="dxa"/>
              <w:right w:w="100" w:type="dxa"/>
            </w:tcMar>
          </w:tcPr>
          <w:p>
            <w:r>
              <w:rPr>
                <w:rFonts w:ascii="Arial" w:hAnsi="Arial"/>
                <w:color w:val="1E293B"/>
                <w:sz w:val="16"/>
              </w:rPr>
              <w:t>100% de Cobertura</w:t>
            </w:r>
          </w:p>
        </w:tc>
        <w:tc>
          <w:tcPr>
            <w:tcW w:type="dxa" w:w="4032"/>
            <w:shd w:fill="FFFFFF"/>
            <w:tcMar>
              <w:top w:w="80" w:type="dxa"/>
              <w:bottom w:w="80" w:type="dxa"/>
              <w:left w:w="100" w:type="dxa"/>
              <w:right w:w="100" w:type="dxa"/>
            </w:tcMar>
          </w:tcPr>
          <w:p>
            <w:r>
              <w:rPr>
                <w:rFonts w:ascii="Arial" w:hAnsi="Arial"/>
                <w:color w:val="1E293B"/>
                <w:sz w:val="16"/>
              </w:rPr>
              <w:t>Pruebas unitarias de algoritmos puros en memoria (AND y desempate multinivel).</w:t>
            </w:r>
          </w:p>
        </w:tc>
      </w:tr>
      <w:tr>
        <w:tc>
          <w:tcPr>
            <w:tcW w:type="dxa" w:w="3168"/>
            <w:shd w:fill="F8FAFC"/>
            <w:tcMar>
              <w:top w:w="80" w:type="dxa"/>
              <w:bottom w:w="80" w:type="dxa"/>
              <w:left w:w="100" w:type="dxa"/>
              <w:right w:w="100" w:type="dxa"/>
            </w:tcMar>
          </w:tcPr>
          <w:p>
            <w:r>
              <w:rPr>
                <w:rFonts w:ascii="Arial" w:hAnsi="Arial"/>
                <w:b/>
                <w:color w:val="1E293B"/>
                <w:sz w:val="16"/>
              </w:rPr>
              <w:t>Mutaciones Optimistas y Rollback</w:t>
            </w:r>
          </w:p>
        </w:tc>
        <w:tc>
          <w:tcPr>
            <w:tcW w:type="dxa" w:w="2592"/>
            <w:shd w:fill="F8FAFC"/>
            <w:tcMar>
              <w:top w:w="80" w:type="dxa"/>
              <w:bottom w:w="80" w:type="dxa"/>
              <w:left w:w="100" w:type="dxa"/>
              <w:right w:w="100" w:type="dxa"/>
            </w:tcMar>
          </w:tcPr>
          <w:p>
            <w:r>
              <w:rPr>
                <w:rFonts w:ascii="Arial" w:hAnsi="Arial"/>
                <w:color w:val="1E293B"/>
                <w:sz w:val="16"/>
              </w:rPr>
              <w:t>100% de Cobertura</w:t>
            </w:r>
          </w:p>
        </w:tc>
        <w:tc>
          <w:tcPr>
            <w:tcW w:type="dxa" w:w="4032"/>
            <w:shd w:fill="F8FAFC"/>
            <w:tcMar>
              <w:top w:w="80" w:type="dxa"/>
              <w:bottom w:w="80" w:type="dxa"/>
              <w:left w:w="100" w:type="dxa"/>
              <w:right w:w="100" w:type="dxa"/>
            </w:tcMar>
          </w:tcPr>
          <w:p>
            <w:r>
              <w:rPr>
                <w:rFonts w:ascii="Arial" w:hAnsi="Arial"/>
                <w:color w:val="1E293B"/>
                <w:sz w:val="16"/>
              </w:rPr>
              <w:t>Pruebas de revert de estado ante rechazo o timeout de API.</w:t>
            </w:r>
          </w:p>
        </w:tc>
      </w:tr>
      <w:tr>
        <w:tc>
          <w:tcPr>
            <w:tcW w:type="dxa" w:w="3168"/>
            <w:shd w:fill="FFFFFF"/>
            <w:tcMar>
              <w:top w:w="80" w:type="dxa"/>
              <w:bottom w:w="80" w:type="dxa"/>
              <w:left w:w="100" w:type="dxa"/>
              <w:right w:w="100" w:type="dxa"/>
            </w:tcMar>
          </w:tcPr>
          <w:p>
            <w:r>
              <w:rPr>
                <w:rFonts w:ascii="Arial" w:hAnsi="Arial"/>
                <w:b/>
                <w:color w:val="1E293B"/>
                <w:sz w:val="16"/>
              </w:rPr>
              <w:t>Validaciones de Formularios y DTOs</w:t>
            </w:r>
          </w:p>
        </w:tc>
        <w:tc>
          <w:tcPr>
            <w:tcW w:type="dxa" w:w="2592"/>
            <w:shd w:fill="FFFFFF"/>
            <w:tcMar>
              <w:top w:w="80" w:type="dxa"/>
              <w:bottom w:w="80" w:type="dxa"/>
              <w:left w:w="100" w:type="dxa"/>
              <w:right w:w="100" w:type="dxa"/>
            </w:tcMar>
          </w:tcPr>
          <w:p>
            <w:r>
              <w:rPr>
                <w:rFonts w:ascii="Arial" w:hAnsi="Arial"/>
                <w:color w:val="1E293B"/>
                <w:sz w:val="16"/>
              </w:rPr>
              <w:t>100% de Cobertura</w:t>
            </w:r>
          </w:p>
        </w:tc>
        <w:tc>
          <w:tcPr>
            <w:tcW w:type="dxa" w:w="4032"/>
            <w:shd w:fill="FFFFFF"/>
            <w:tcMar>
              <w:top w:w="80" w:type="dxa"/>
              <w:bottom w:w="80" w:type="dxa"/>
              <w:left w:w="100" w:type="dxa"/>
              <w:right w:w="100" w:type="dxa"/>
            </w:tcMar>
          </w:tcPr>
          <w:p>
            <w:r>
              <w:rPr>
                <w:rFonts w:ascii="Arial" w:hAnsi="Arial"/>
                <w:color w:val="1E293B"/>
                <w:sz w:val="16"/>
              </w:rPr>
              <w:t>Pruebas de frontera de inputs y políticas de contraseña.</w:t>
            </w:r>
          </w:p>
        </w:tc>
      </w:tr>
      <w:tr>
        <w:tc>
          <w:tcPr>
            <w:tcW w:type="dxa" w:w="3168"/>
            <w:shd w:fill="F8FAFC"/>
            <w:tcMar>
              <w:top w:w="80" w:type="dxa"/>
              <w:bottom w:w="80" w:type="dxa"/>
              <w:left w:w="100" w:type="dxa"/>
              <w:right w:w="100" w:type="dxa"/>
            </w:tcMar>
          </w:tcPr>
          <w:p>
            <w:r>
              <w:rPr>
                <w:rFonts w:ascii="Arial" w:hAnsi="Arial"/>
                <w:b/>
                <w:color w:val="1E293B"/>
                <w:sz w:val="16"/>
              </w:rPr>
              <w:t>Componentes Interactivos (Hub, Calendario, Wizard)</w:t>
            </w:r>
          </w:p>
        </w:tc>
        <w:tc>
          <w:tcPr>
            <w:tcW w:type="dxa" w:w="2592"/>
            <w:shd w:fill="F8FAFC"/>
            <w:tcMar>
              <w:top w:w="80" w:type="dxa"/>
              <w:bottom w:w="80" w:type="dxa"/>
              <w:left w:w="100" w:type="dxa"/>
              <w:right w:w="100" w:type="dxa"/>
            </w:tcMar>
          </w:tcPr>
          <w:p>
            <w:r>
              <w:rPr>
                <w:rFonts w:ascii="Arial" w:hAnsi="Arial"/>
                <w:color w:val="1E293B"/>
                <w:sz w:val="16"/>
              </w:rPr>
              <w:t>80% de Cobertura</w:t>
            </w:r>
          </w:p>
        </w:tc>
        <w:tc>
          <w:tcPr>
            <w:tcW w:type="dxa" w:w="4032"/>
            <w:shd w:fill="F8FAFC"/>
            <w:tcMar>
              <w:top w:w="80" w:type="dxa"/>
              <w:bottom w:w="80" w:type="dxa"/>
              <w:left w:w="100" w:type="dxa"/>
              <w:right w:w="100" w:type="dxa"/>
            </w:tcMar>
          </w:tcPr>
          <w:p>
            <w:r>
              <w:rPr>
                <w:rFonts w:ascii="Arial" w:hAnsi="Arial"/>
                <w:color w:val="1E293B"/>
                <w:sz w:val="16"/>
              </w:rPr>
              <w:t>Pruebas de renderizado y eventos de usuario con Testing Library.</w:t>
            </w:r>
          </w:p>
        </w:tc>
      </w:tr>
      <w:tr>
        <w:tc>
          <w:tcPr>
            <w:tcW w:type="dxa" w:w="3168"/>
            <w:shd w:fill="FFFFFF"/>
            <w:tcMar>
              <w:top w:w="80" w:type="dxa"/>
              <w:bottom w:w="80" w:type="dxa"/>
              <w:left w:w="100" w:type="dxa"/>
              <w:right w:w="100" w:type="dxa"/>
            </w:tcMar>
          </w:tcPr>
          <w:p>
            <w:r>
              <w:rPr>
                <w:rFonts w:ascii="Arial" w:hAnsi="Arial"/>
                <w:b/>
                <w:color w:val="1E293B"/>
                <w:sz w:val="16"/>
              </w:rPr>
              <w:t>Contenedores Cosméticos y Estilos Puros</w:t>
            </w:r>
          </w:p>
        </w:tc>
        <w:tc>
          <w:tcPr>
            <w:tcW w:type="dxa" w:w="2592"/>
            <w:shd w:fill="FFFFFF"/>
            <w:tcMar>
              <w:top w:w="80" w:type="dxa"/>
              <w:bottom w:w="80" w:type="dxa"/>
              <w:left w:w="100" w:type="dxa"/>
              <w:right w:w="100" w:type="dxa"/>
            </w:tcMar>
          </w:tcPr>
          <w:p>
            <w:r>
              <w:rPr>
                <w:rFonts w:ascii="Arial" w:hAnsi="Arial"/>
                <w:color w:val="1E293B"/>
                <w:sz w:val="16"/>
              </w:rPr>
              <w:t>0% (Excluidos)</w:t>
            </w:r>
          </w:p>
        </w:tc>
        <w:tc>
          <w:tcPr>
            <w:tcW w:type="dxa" w:w="4032"/>
            <w:shd w:fill="FFFFFF"/>
            <w:tcMar>
              <w:top w:w="80" w:type="dxa"/>
              <w:bottom w:w="80" w:type="dxa"/>
              <w:left w:w="100" w:type="dxa"/>
              <w:right w:w="100" w:type="dxa"/>
            </w:tcMar>
          </w:tcPr>
          <w:p>
            <w:r>
              <w:rPr>
                <w:rFonts w:ascii="Arial" w:hAnsi="Arial"/>
                <w:color w:val="1E293B"/>
                <w:sz w:val="16"/>
              </w:rPr>
              <w:t>Aislamiento de esfuerzo en maquetación visual estática sin lógica.</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