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563EB"/>
          <w:sz w:val="20"/>
        </w:rPr>
        <w:t>CENTRA-T · MÉTODO ZUG · FASE 2: PLAN DE CONSTRUCCIÓN TDD</w:t>
        <w:br/>
      </w:r>
      <w:r>
        <w:rPr>
          <w:b/>
          <w:color w:val="0F172A"/>
          <w:sz w:val="40"/>
        </w:rPr>
        <w:t>DOCUMENTO 11: ÍNDICE PVF → VF (FASE RED)</w:t>
      </w:r>
    </w:p>
    <w:p>
      <w:pPr>
        <w:spacing w:before="0" w:after="280"/>
      </w:pPr>
      <w:r>
        <w:rPr>
          <w:i/>
          <w:color w:val="4B5563"/>
          <w:sz w:val="20"/>
        </w:rPr>
        <w:t>Catálogo Maestro de Puntos de Verificación Funcional y Contratos Observables desde la UI · Regla de Derivación Red-Green</w:t>
      </w:r>
    </w:p>
    <w:p>
      <w:pPr>
        <w:pStyle w:val="Heading1"/>
        <w:spacing w:before="240" w:after="120"/>
      </w:pPr>
      <w:r>
        <w:rPr>
          <w:b/>
          <w:color w:val="0F172A"/>
          <w:sz w:val="28"/>
        </w:rPr>
        <w:t>1. Regla Doctrinal de Derivación y Criterio de Verificación</w:t>
      </w:r>
    </w:p>
    <w:p>
      <w:pPr>
        <w:spacing w:after="120"/>
      </w:pPr>
      <w:r>
        <w:t>El presente documento constituye la Fase RED del TDD Arquitectónico en el Método zug para el proyecto Centra-T. Bajo este paradigma, queda terminantemente prohibido redactar especificaciones técnicas de bajo nivel (SPECs) o líneas de código de producción sin haber congelado con carácter vinculante los hechos observables desde la superficie del producto.</w:t>
      </w:r>
    </w:p>
    <w:p>
      <w:pPr>
        <w:pStyle w:val="ListBullet"/>
        <w:spacing w:after="60"/>
      </w:pPr>
      <w:r>
        <w:rPr>
          <w:b/>
          <w:color w:val="0F172A"/>
        </w:rPr>
        <w:t xml:space="preserve">Estrategia Vertical Estricta: </w:t>
      </w:r>
      <w:r>
        <w:t>Cada Rebanada Vertical (RV) corta transversalmente todas las capas del sistema (UI, Estado en Memoria, Endpoints de API, Lógica de Dominio y Persistencia), erradicando el desarrollo por capas horizontales ciegas.</w:t>
      </w:r>
    </w:p>
    <w:p>
      <w:pPr>
        <w:pStyle w:val="ListBullet"/>
        <w:spacing w:after="60"/>
      </w:pPr>
      <w:r>
        <w:rPr>
          <w:b/>
          <w:color w:val="0F172A"/>
        </w:rPr>
        <w:t xml:space="preserve">Scaffolding Visual Primero: </w:t>
      </w:r>
      <w:r>
        <w:t>La primera Rebanada Vertical (RV-A01) erige el andamio visual y la topología espacial del Workspace, dotando al Product Builder y a las pruebas E2E de un lienzo navegable desde la primera iteración.</w:t>
      </w:r>
    </w:p>
    <w:p>
      <w:pPr>
        <w:pStyle w:val="ListBullet"/>
        <w:spacing w:after="60"/>
      </w:pPr>
      <w:r>
        <w:rPr>
          <w:b/>
          <w:color w:val="0F172A"/>
        </w:rPr>
        <w:t xml:space="preserve">Fidelidad Estricta a la Especificación: </w:t>
      </w:r>
      <w:r>
        <w:t>Cada fila congela las 4 Decisiones Humanas del Análisis (1A: bloqueo fechas pasadas; 2B: límites tipográficos 120/1000 chars; 3A: rollback a cero en Wizard; 4B: modal de conflicto en reasignación), los 9 Casos Forenses de Calidad (VV-001 a VV-009) y el diseño original de Hub (únicamente botones [Filtrar] y [Reordenar]).</w:t>
      </w:r>
    </w:p>
    <w:p>
      <w:pPr>
        <w:pStyle w:val="Heading1"/>
        <w:spacing w:before="320" w:after="120"/>
      </w:pPr>
      <w:r>
        <w:rPr>
          <w:b/>
          <w:color w:val="0F172A"/>
          <w:sz w:val="28"/>
        </w:rPr>
        <w:t>2. Catálogo Matricial PVF → VF (Fase RED)</w:t>
      </w:r>
    </w:p>
    <w:p>
      <w:pPr>
        <w:spacing w:after="160"/>
      </w:pPr>
      <w:r>
        <w:t>Estructura canónica de 6 columnas obligatorias. Toda fila define un hecho observable, su contrato técnico verificable, la superficie física donde se valida, la evidencia empírica de cierre y la Verificación Funcional (VF) formalmente derivada: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/>
        </w:trPr>
        <w:tc>
          <w:tcPr>
            <w:tcW w:type="dxa" w:w="1224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PVF</w:t>
            </w:r>
          </w:p>
        </w:tc>
        <w:tc>
          <w:tcPr>
            <w:tcW w:type="dxa" w:w="1800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Hecho funcional</w:t>
            </w:r>
          </w:p>
        </w:tc>
        <w:tc>
          <w:tcPr>
            <w:tcW w:type="dxa" w:w="2376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Contrato verificable</w:t>
            </w:r>
          </w:p>
        </w:tc>
        <w:tc>
          <w:tcPr>
            <w:tcW w:type="dxa" w:w="1584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type="dxa" w:w="1944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Evidencia de cierre</w:t>
            </w:r>
          </w:p>
        </w:tc>
        <w:tc>
          <w:tcPr>
            <w:tcW w:type="dxa" w:w="1584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VF derivada</w:t>
            </w:r>
          </w:p>
        </w:tc>
      </w:tr>
      <w:tr>
        <w:tc>
          <w:tcPr>
            <w:tcW w:type="dxa" w:w="10512"/>
            <w:gridSpan w:val="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93C5FD"/>
                <w:sz w:val="19"/>
              </w:rPr>
              <w:t>■  RV-A01 · Scaffolding UI Base y Topología Espacial del Workspace (Scaffolding Primero)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PVF-A01.01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Renderizado del Shell Base y Layout de 2 Columnas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Grid responsive con Navbar superior fijo (h=64px), Hub lateral colapsable (w=380px) y Mesa de Trabajo con Calendario Mensual a pantalla completa.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src/workspace/components/WorkspaceLayout.tsx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Viewport a 1920x1080 y 1366x768 renderiza ambos paneles sin scroll horizontal global ni solapamiento (CLS = 0).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VF-A01.01 · Shell y Topología Espacial del Workspace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PVF-A01.02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Colapso y Expansión Reactiva del Hub Lateral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Acción de toggle colapsa el Hub a 0px de ancho y expande el Calendario al 100% de la ventana con transición CSS &lt;= 200ms sin mutar el DOM.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src/hub/components/HubContainer.tsx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Clic en botón de colapso conmuta clase/estado y el calendario llena el ancho de la mesa de trabajo sin saltos visuales.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VF-A01.02 · Comportamiento Colapsable del Hub Lateral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PVF-A01.03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Barra Superior (Navbar) con Perfil e Indicador de Red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Navbar superior persistente muestra avatar del usuario, botón [Cerrar Sesión] y píldora de telemetría de red ('Online' verde / 'Offline' ámbar).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src/workspace/components/TopNavbar.tsx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Componente renderiza nombre del usuario activo y reacciona de inmediato al estado de red de la ventana.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VF-A01.03 · Barra de Navegación Superior y Telemetría Visual</w:t>
            </w:r>
          </w:p>
        </w:tc>
      </w:tr>
      <w:tr>
        <w:tc>
          <w:tcPr>
            <w:tcW w:type="dxa" w:w="10512"/>
            <w:gridSpan w:val="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93C5FD"/>
                <w:sz w:val="19"/>
              </w:rPr>
              <w:t>■  RV-A02 · Autenticación, Sesión Segura y Control de Acceso (Auth &amp; Identity)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PVF-A02.01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Registro de Cuenta y Validación de Doble Contraseña (VV-009)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Pestaña [Crear Cuenta] en tarjeta Auth. Formulario con email (RFC 5322), password y confirmación. POST /users crea User con bcrypt (coste 12). Conflicto 409 si email existe (VV-009).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src/authentication/views/RegisterTab.tsx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Error inline si contraseñas difieren; envío exitoso persiste el usuario en DB, emite cookie segura y redirige al Workspace.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VF-A02.01 · Registro de Usuario y Validación de Doble Contraseña (VV-009)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PVF-A02.02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Validación No Agresiva en Formulario de Login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Validación de campos únicamente en onBlur y onSubmit (email RFC 5322, contraseña &gt;= 8 chars). Prohibido validar en onChange inicial.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src/authentication/views/LoginPage.tsx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Tipeo de credenciales iniciales no despliega alertas rojas; al perder foco con campo erróneo o submit inválido se resalta el input.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VF-A02.02 · Interacción y Validación Empática de Login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PVF-A02.03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Autenticación Exitosa y Sesión Segura HttpOnly (VV-001)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POST /auth/login con credenciales válidas emite cookie 'session_token' con flags HttpOnly; Secure; SameSite=Strict y redirige al Workspace (VV-001).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src/authentication/auth.controller.ts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Cookie ausente de document.cookie; cabecera Set-Cookie recibida; transición visual fluida hacia /workspace.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VF-A02.03 · Sesión Segura HttpOnly y Transición al Workspace (VV-001)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PVF-A02.04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Mitigación de Enumeración y Throttling de Login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Credenciales erróneas devuelven HTTP 401 con mensaje genérico 'Credenciales incorrectas'. Máximo 5 intentos por IP/15min devolviendo HTTP 429.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src/authentication/auth.guard.ts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Mensaje idéntico si el email no existe o la contraseña falla; tras 5 intentos fallidos, el sexto es bloqueado de inmediato con HTTP 429.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VF-A02.04 · Prevención de Enumeración y Rate Limiting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PVF-A02.05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Cierre de Sesión Seguro e Invalidación de Cookie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POST /auth/logout invalida la sesión activa en el backend, purga la cookie (Max-Age=0) y expulsa al usuario hacia /auth/login.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src/authentication/auth.controller.ts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Cookie eliminada del cliente; intento de navegación hacia /workspace redirige de inmediato al formulario de login.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VF-A02.05 · Cierre de Sesión Seguro y Purga de Credenciales</w:t>
            </w:r>
          </w:p>
        </w:tc>
      </w:tr>
      <w:tr>
        <w:tc>
          <w:tcPr>
            <w:tcW w:type="dxa" w:w="10512"/>
            <w:gridSpan w:val="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93C5FD"/>
                <w:sz w:val="19"/>
              </w:rPr>
              <w:t>■  RV-A03 · Gestión de Tareas Generales (Tasks Vertical Slice)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PVF-A03.01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Renderizado de Acordeón de Tareas y Estados Vacíos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Contenedor acordeón en Hub con cabecera 'Tareas (N)'. Si N=0 renderiza EV-05 (Empty State) con CTA; si N&gt;0 lista tarjetas no fechadas.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src/hub/components/TasksAccordion.tsx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Clic en cabecera despliega/colapsa lista; cuenta de ítems coincide exactamente con la cantidad de tarjetas visibles.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VF-A03.01 · Acordeón de Tareas y Estado Vacío en Hub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PVF-A03.02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Wizard de Creación en 3 Pasos y Fronteras Tipográficas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Wizard modal: Paso 1 Título (máx 120 chars - Decisión 2B), Paso 2 Descripción (máx 1000 chars), Paso 3 Prioridad (Alta/Media/Baja). POST /tasks.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src/tasks/components/TaskCreationWizard.tsx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Input rechaza caracteres más allá de 120 con feedback numérico; envío añade la tarea con animación al tope de la lista en Hub.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VF-A03.02 · Alta de Tarea mediante Wizard y Límites Tipográficos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PVF-A03.03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Cancelación del Wizard con Rollback Total a Cero (VV-004)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Pulsar [Cancelar] o tecla ESC en cualquier paso del Wizard aborta el flujo y purga el buffer en memoria. Reabrir inicia 100% limpio (Decisión 3A / VV-004).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src/tasks/components/TaskCreationWizard.tsx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Escribir borrador en paso 2, pulsar Cancelar, volver a abrir wizard: campos completamente vacíos y paso 1 activo.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VF-A03.03 · Rollback Total a Cero en Cancelación de Wizard (VV-004)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PVF-A03.04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Conmutación Optimista de Checkbox con Rollback Automático (VV-005)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Clic en checkbox tacha inmediatamente el título (line-through) y emite PATCH /tasks/:id/toggle. Si la API falla (500), revierte y notifica (VV-005).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src/tasks/components/TaskCard.tsx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Tachado visual inmediato (&lt;50ms); simulación de error 500 desmarca el checkbox instantáneamente y despliega Toast de alerta.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VF-A03.04 · Mutación Optimista de Checkbox y Rollback Automático (VV-005)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PVF-A03.05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Edición Contextual y Eliminación con Diálogo Preventivo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Menú contextual en tarjeta permite editar título/prioridad o eliminar. La eliminación exige confirmación modal antes de emitir DELETE /tasks/:id.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src/tasks/components/TaskActionMenu.tsx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Modal intercepta la eliminación; pulsar [Confirmar] retira la tarjeta del Hub mediante animación de desvanecimiento suave.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VF-A03.05 · Edición y Eliminación con Diálogo Preventivo</w:t>
            </w:r>
          </w:p>
        </w:tc>
      </w:tr>
      <w:tr>
        <w:tc>
          <w:tcPr>
            <w:tcW w:type="dxa" w:w="10512"/>
            <w:gridSpan w:val="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93C5FD"/>
                <w:sz w:val="19"/>
              </w:rPr>
              <w:t>■  RV-A04 · Gestión de Lista de la Compra Semanal (Shopping Vertical Slice)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PVF-A04.01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Acordeón de Compra con Telemetría Comprados / Totales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Cabecera en Hub 'Compra Semanal (X/Y)' indicando ítems comprados vs total. Badge numérico destacado muestra ítems pendientes de adquisición.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src/hub/components/ShoppingAccordion.tsx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Contadores reactivos se actualizan en tiempo real al marcar ítems; cabecera incluye agarrador de arrastre para compra en bloque.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VF-A04.01 · Estructura de Acordeón y Telemetría de Compra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PVF-A04.02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Adición Rápida Inline de Ítem de Compra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Input inline en pie del acordeón para ingreso rápido (máx 120 chars, selector de unidad). Presionar Enter emite POST /shopping.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src/shopping/components/QuickItemInput.tsx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Al pulsar Enter, el ítem se incorpora al final de la lista de compras y el input se limpia manteniendo el foco para ingreso ágil.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VF-A04.02 · Adición Rápida Inline de Ítems de Compra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PVF-A04.03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Modo Compra Activa y Separación de Ítems Comprados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Al marcar un ítem como comprado, se traslada automáticamente a la sección secundaria colapsable 'Comprados' con tipografía atenuada.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src/shopping/components/ShoppingItemList.tsx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Transición fluida sin recarga de pantalla; los ítems comprados no obstaculizan la vista de productos pendientes en tienda.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VF-A04.03 · Separación Automática de Ítems Comprados</w:t>
            </w:r>
          </w:p>
        </w:tc>
      </w:tr>
      <w:tr>
        <w:tc>
          <w:tcPr>
            <w:tcW w:type="dxa" w:w="10512"/>
            <w:gridSpan w:val="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93C5FD"/>
                <w:sz w:val="19"/>
              </w:rPr>
              <w:t>■  RV-A05 · Gestión de Tareas de Limpieza Doméstica (Cleaning Vertical Slice)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PVF-A05.01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Acordeón de Limpieza Organizado por Zonas y Frecuencias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Acordeón en Hub segmentado por Zonas (Cocina, Baño, Salón, General) y Frecuencias (Semanal, Quincenal, Mensual) con chips de color semántico.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src/hub/components/CleaningAccordion.tsx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Renderizado de tarjetas con distintivo de periodicidad y zona; conteo total de tareas pendientes de limpieza en cabecera.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VF-A05.01 · Organización por Zonas y Frecuencias de Limpieza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PVF-A05.02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Alta de Tarea de Limpieza con Asignación de Periodicidad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Modal de creación con selector obligatorio de Zona del hogar y frecuencia de repetición. Emite POST /cleaning persistiendo invariantes.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src/cleaning/components/CleaningCreationModal.tsx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Envío exitoso añade la tarea al acordeón de limpieza con su metadata de recurrencia debidamente almacenada.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VF-A05.02 · Creación de Tarea de Limpieza con Recurrencia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PVF-A05.03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Registro de Ejecución y Cálculo de Próxima Limpieza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Marcar tarea de limpieza registra timestamp lastCompletedAt y calcula fecha de próxima ejecución sugerida según su frecuencia configurada.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src/cleaning/cleaning.service.ts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La tarjeta muestra etiqueta informativa: 'Completada: Hoy · Próxima sugerida: en 7 días' sin perder su periodicidad.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VF-A05.03 · Ciclo de Recurrencia y Cálculo de Próxima Ejecución</w:t>
            </w:r>
          </w:p>
        </w:tc>
      </w:tr>
      <w:tr>
        <w:tc>
          <w:tcPr>
            <w:tcW w:type="dxa" w:w="10512"/>
            <w:gridSpan w:val="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93C5FD"/>
                <w:sz w:val="19"/>
              </w:rPr>
              <w:t>■  RV-A06 · Motor de Filtros Reactivos y Reordenación (Filters &amp; Sort)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PVF-A06.01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Panel de Filtros Combinados y Lógica AND (Botón [Filtrar])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Botón [Filtrar] en Hub despliega panel modal con 3 criterios acumulativos: Prioridad (Alta/Media/Baja), Fecha/Rango y Estado. Evaluación AND en memoria.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src/filters/components/FilterModal.tsx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Seleccionar Prioridad Alta + Estado Pendiente oculta de inmediato ítems que no cumplan ambas condiciones; botón [Cancelar] descarta sin mutar.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VF-A06.01 · Panel de Filtros Combinados y Evaluación Lógica AND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PVF-A06.02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Reactividad en Caliente y Botón [Limpiar Filtros]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Editar o completar ítems con filtro activo recalcula la vista reactivamente en memoria. Botón [Limpiar Filtros] restablece los criterios al estado neutro.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src/filters/components/FilterModal.tsx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Mutación de ítem actualiza visibilidad al instante sin recarga; pulsar [Limpiar Filtros] muestra nuevamente todas las tarjetas del Hub.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VF-A06.02 · Reactividad en Caliente y Reseteo de Filtros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PVF-A06.03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Panel de Reordenación Multinivel y Desempate Determinista (Botón [Reordenar])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Botón [Reordenar] abre panel con opciones: Fecha de Ejecución, Prioridad o Alfabético. En caso de colisión de prioridad, desempata por createdAt ASC.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src/filters/components/SortMenu.tsx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Reorganización determinista en memoria de las listas activas; elementos con igual prioridad conservan orden cronológico estricto.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VF-A06.03 · Reordenación Multinivel y Desempate Determinista</w:t>
            </w:r>
          </w:p>
        </w:tc>
      </w:tr>
      <w:tr>
        <w:tc>
          <w:tcPr>
            <w:tcW w:type="dxa" w:w="10512"/>
            <w:gridSpan w:val="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93C5FD"/>
                <w:sz w:val="19"/>
              </w:rPr>
              <w:t>■  RV-A07 · Calendario Mensual Interactivo y Drag &amp; Drop (Cross-Interaction)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PVF-A07.01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Rejilla Mensual Dinámica y Resaltado del Día Actual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Grid de 7 columnas (Lunes-Domingo) con días del mes activo, días adyacentes atenuados y badge de borde azul cobalto en fecha de hoy.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src/workspace/components/MonthlyCalendarGrid.tsx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Navegación mes anterior/siguiente recalcula la matriz de 35/42 casillas; el día en curso luce distintivo visual inconfundible.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VF-A07.01 · Renderizado y Navegación de la Rejilla Calendario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PVF-A07.02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Asignación de Ítem a Fecha mediante Drag and Drop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Arrastrar tarjeta desde el Hub y soltar en casilla de día presente/futuro emite PATCH /items/:id/schedule. Pasa de Hub a píldora en día.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src/calendar-sync/components/CalendarDropZone.tsx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La tarjeta desaparece de la sección sin asignar del Hub y se materializa como píldora en la casilla del día soltado.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VF-A07.02 · Programación de Ítem en Calendario mediante Drag and Drop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PVF-A07.03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Bloqueo Inflexible de Drop en Fechas Pasadas (Decisión 1A)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Desplazar cursor sobre casilla de fecha pasada activa cursor not-allowed y tinte carmesí. Soltar anula el drop con retorno elástico (VV-002).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src/calendar-sync/components/CalendarCell.tsx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Cero peticiones HTTP emitidas; la tarjeta regresa elásticamente a su posición original en el Hub sin mutar estado alguno.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VF-A07.03 · Bloqueo de Drop en Fechas Pasadas (Decisión 1A / VV-002)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PVF-A07.04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Modal de Confirmación al Mover Tarea Fechada (Decisión 4B)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Mover ítem ya asignado a fecha D1 hacia fecha D2 despliega obligatoriamente modal de conflicto: 'Mover a D2' o 'Mantener en D1' (VV-003).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src/calendar-sync/components/ReassignmentConfirmModal.tsx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Pulsar 'Mantener en D1' o ESC aborta el cambio y devuelve la píldora a D1; confirmar actualiza la fecha en servidor y UI.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VF-A07.04 · Modal de Intercepción en Reasignación de Fecha (Decisión 4B / VV-003)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PVF-A07.05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Asignación Masiva de Lista de Compra al Calendario (VV-006)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Arrastrar el contenedor completo de Compra Semanal a un día del calendario programa todos los ítems pendientes a dicha fecha (VV-006).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src/hub/components/ShoppingAccordion.tsx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Soltar en casilla destino emite POST /shopping/schedule-all y genera una píldora unificada de compra en el día seleccionado.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VF-A07.05 · Asignación Masiva de Compra Semanal al Calendario (VV-006)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PVF-A07.06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Desasignación Rápida de Fecha y Retorno al Hub (VV-007)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Clic derecho en píldora del calendario despliega menú contextual con opción 'Mover a Sin Asignar' (PATCH /items/:id/unschedule) (VV-007).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src/calendar-sync/components/CalendarItemContextMenu.tsx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La píldora desaparece del calendario y reaparece de inmediato en su acordeón respectivo del Hub como ítem no fechado.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VF-A07.06 · Desasignación de Fecha y Retorno al Hub (VV-007)</w:t>
            </w:r>
          </w:p>
        </w:tc>
      </w:tr>
      <w:tr>
        <w:tc>
          <w:tcPr>
            <w:tcW w:type="dxa" w:w="10512"/>
            <w:gridSpan w:val="6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93C5FD"/>
                <w:sz w:val="19"/>
              </w:rPr>
              <w:t>■  RV-A08 · Resiliencia Offline, Manejo de Errores y Cierre Forense (Resilience &amp; QA)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PVF-A08.01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Detección de Desconexión y Modo Preventivo Solo Lectura (VV-008)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Listener navigator.onLine despliega banner superior de advertencia offline en &lt;100ms y congela mutaciones destructivas (VV-008).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src/workspace/components/OfflineBanner.tsx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Desconectar red en navegador activa banner ámbar e inhabilita botones de creación/borrado; al reconectar se restablece.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VF-A08.01 · Modo Preventivo Offline y Congelación de Mutaciones (VV-008)</w:t>
            </w:r>
          </w:p>
        </w:tc>
      </w:tr>
      <w:tr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PVF-A08.02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Interceptor de Errores Constructivos y Garantía de Rollback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Interceptor HTTP captura fallos 5xx/4xx. Prohibido mostrar errores crudos. Revierte estado optimista y muestra Toast descriptivo.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src/infrastructure/http/apiClient.ts</w:t>
            </w:r>
          </w:p>
        </w:tc>
        <w:tc>
          <w:tcPr>
            <w:tcW w:type="dxa" w:w="19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Fallo simulado en toggle de checkbox revierte el estado visual a no completado y muestra Toast con motivo y acción correctiva.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VF-A08.02 · Errores Constructivos y Reversión de Estado Optimista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PVF-A08.03</w:t>
            </w:r>
          </w:p>
        </w:tc>
        <w:tc>
          <w:tcPr>
            <w:tcW w:type="dxa" w:w="18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color w:val="0F172A"/>
                <w:sz w:val="16"/>
              </w:rPr>
              <w:t>Harness E2E Forense Automatizado y Telemetría de Pruebas</w:t>
            </w:r>
          </w:p>
        </w:tc>
        <w:tc>
          <w:tcPr>
            <w:tcW w:type="dxa" w:w="237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Suite Playwright ejecuta flujos VV-001 a VV-009. En aserción fallida captura automáticamente trazas .har, screenshots .png y vídeo .webm.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334155"/>
                <w:sz w:val="15"/>
              </w:rPr>
              <w:t>playwright.config.ts</w:t>
            </w:r>
          </w:p>
        </w:tc>
        <w:tc>
          <w:tcPr>
            <w:tcW w:type="dxa" w:w="19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0F172A"/>
                <w:sz w:val="16"/>
              </w:rPr>
              <w:t>Ejecución en CI genera reporte HTML con 100% de tests en verde o carpeta con evidencias forenses completas ante cualquier regresión.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6"/>
              </w:rPr>
              <w:t>VF-A08.03 · Harness E2E Forense Automatizado y Evidencias de Fallo</w:t>
            </w:r>
          </w:p>
        </w:tc>
      </w:tr>
    </w:tbl>
    <w:p>
      <w:pPr>
        <w:pStyle w:val="Heading1"/>
        <w:spacing w:before="400" w:after="120"/>
      </w:pPr>
      <w:r>
        <w:rPr>
          <w:b/>
          <w:color w:val="0F172A"/>
          <w:sz w:val="28"/>
        </w:rPr>
        <w:t>3. Matriz de Trazabilidad Forense y Blindaje de Decisiones</w:t>
      </w:r>
    </w:p>
    <w:p>
      <w:pPr>
        <w:spacing w:after="120"/>
      </w:pPr>
      <w:r>
        <w:t>El presente catálogo congela un total de 31 Puntos de Verificación Funcional (PVF) distribuidos en 8 Rebanadas Verticales (RV-A01 a RV-A08). Cada compromiso técnico pactado en el Análisis y en la Suite Documental Maestra cuenta con un contrato observable inequívoco: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Dimensión de Diseño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Decisión / Caso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PVF / VF Asociada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Garantía Observable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Restricción de Calendario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Decisión 1A (Bloqueo Pasado)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PVF-A07.03 / VF-A07.03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Cursor not-allowed, tinte carmesí, cancelación total y retorno elástico.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Límites de Entrada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Decisión 2B (120/1000 chars)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PVF-A03.02 / VF-A03.02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Corte duro de caracteres e indicador visual numérico en UI.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Cancelación de Wizard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Decisión 3A (Rollback a Cero)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PVF-A03.03 / VF-A03.03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Purga completa de memoria en cancelar/ESC; reapertura 100% limpia.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Conflicto de Fechas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Decisión 4B (Modal de Conflicto)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PVF-A07.04 / VF-A07.04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Intercepción modal obligatoria al reasignar tarea con fecha previa.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Validación Forense Login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Caso VV-001 (Auth)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PVF-A02.03 / VF-A02.03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Cookie HttpOnly, sesión estricta y transición reactiva a Workspace.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Validación Forense Checkbox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Caso VV-005 (Optimista)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PVF-A03.04 / VF-A03.04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Tachado en &lt;50ms con rollback y Toast empático ante fallo 500.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Validación Forense Masiva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Caso VV-006 (Compra Bloque)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PVF-A07.05 / VF-A07.05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Arrastre de contenedor asigna en bloque toda la lista de compra al día.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Validación Forense Contextual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Caso VV-007 (Desasignar)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PVF-A07.06 / VF-A07.06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Clic derecho sobre píldora devuelve el ítem al Hub sin asignar.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Validación Forense Offline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Caso VV-008 (Modo Preventivo)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PVF-A08.01 / VF-A08.01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Banner offline en &lt;100ms y congelación de mutaciones destructivas.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Validación Forense Registro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0F172A"/>
                <w:sz w:val="16"/>
              </w:rPr>
              <w:t>Caso VV-009 (Registro Cuenta)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2563EB"/>
                <w:sz w:val="16"/>
              </w:rPr>
              <w:t>PVF-A02.01 / VF-A02.01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color w:val="0F172A"/>
                <w:sz w:val="16"/>
              </w:rPr>
              <w:t>Pestaña [Crear Cuenta], validación de contraseñas idénticas y alta en DB.</w:t>
            </w:r>
          </w:p>
        </w:tc>
      </w:tr>
    </w:tbl>
    <w:p>
      <w:pPr>
        <w:pStyle w:val="Heading1"/>
        <w:spacing w:before="320" w:after="120"/>
      </w:pPr>
      <w:r>
        <w:rPr>
          <w:b/>
          <w:color w:val="0F172A"/>
          <w:sz w:val="28"/>
        </w:rPr>
        <w:t>4. Criterio de Pase a Fase GREEN (Despiece RV → FIA)</w:t>
      </w:r>
    </w:p>
    <w:p>
      <w:pPr>
        <w:spacing w:after="120"/>
      </w:pPr>
      <w:r>
        <w:t>Con la congelación de los 31 Puntos de Verificación Funcional y sus respectivas Verificaciones Funcionales (VF-A01.01 a VF-A08.03), queda sellado el contrato exterior observable de Centra-T, incluyendo el flujo íntegro de Registro, Autenticación y los motores de Filtrado y Reordenación del Hub. Toda posterior Ficha de Implementación Atómica (FIA) en el Documento 12 satisfará directamente una de estas VFs bajo el principio de 1 sesión = 1 FIA.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