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43DF" w14:textId="77777777" w:rsidR="009E33CC" w:rsidRDefault="00000000">
      <w:r>
        <w:t>Hiroki Saito, M.D., Ph.D.</w:t>
      </w:r>
      <w:r>
        <w:br/>
        <w:t>Department of Neuropsychiatry, Graduate School of Medicine, Nippon Medical School</w:t>
      </w:r>
      <w:r>
        <w:br/>
        <w:t>Sendagi 1-1-5, Bunkyo-ku, Tokyo 113-8602, Japan</w:t>
      </w:r>
      <w:r>
        <w:br/>
        <w:t>hiroki.saito.neuro@gmail.com · ORCID 0000-0002-4964-8559</w:t>
      </w:r>
    </w:p>
    <w:p w14:paraId="42E98B71" w14:textId="77777777" w:rsidR="009E33CC" w:rsidRDefault="00000000">
      <w:r>
        <w:t>20 October 2026</w:t>
      </w:r>
    </w:p>
    <w:p w14:paraId="14974831" w14:textId="77777777" w:rsidR="009E33CC" w:rsidRDefault="00000000">
      <w:r>
        <w:t>Editors-in-Chief</w:t>
      </w:r>
      <w:r>
        <w:br/>
        <w:t>Journal of Mathematical Biology</w:t>
      </w:r>
    </w:p>
    <w:p w14:paraId="0AB946FC" w14:textId="77777777" w:rsidR="009E33CC" w:rsidRDefault="00000000">
      <w:r>
        <w:t>Dear Editors,</w:t>
      </w:r>
    </w:p>
    <w:p w14:paraId="00E4FA75" w14:textId="77777777" w:rsidR="009E33CC" w:rsidRDefault="00000000">
      <w:r>
        <w:t>I submit for your consideration the manuscript "Catatonia recovery separates two intervention axes that constrain electroconvulsive therapy" as an original research article.</w:t>
      </w:r>
    </w:p>
    <w:p w14:paraId="6B6903DD" w14:textId="77777777" w:rsidR="009E33CC" w:rsidRDefault="00000000">
      <w:r>
        <w:t>The paper studies an evidence-coupled bistable cascade on a dependency chain, a model obtained earlier from the structural identifiability of an active-inference generative model of catatonia and consistent with the fixed order in which capacities return in a clinical series. The question asked of it is which quantities an intervention can reach and what each can achieve. The main results are proved: a maximum principle shows that while every capacity is below threshold no non-negative diffusive coupling, on any graph and in either direction, can carry the system across the switching surface (Theorem 1); after a crossing, propagation from a collapsed downstream chain is governed by one exact criterion, the prevailing threshold squared over four, obtained because the first-stage equilibrium condition factorises (Theorem 2), and applied stage by stage so that the weakest coupling decides where recovery stops (Theorem 3); the same discriminant gives the first-stage eigenvalue on the partial branch and the passage time through the fold, which scales as the inverse square root of the excess with an explicit leading coefficient; and the coupling is recovered exactly from the resting first stage. Each statement carries its hypotheses, in particular the initial configuration to which it applies, and numerical experiments confirm each at the precision stated and delimit the scope of the confinement theorem with explicit counterexamples.</w:t>
      </w:r>
    </w:p>
    <w:p w14:paraId="36C61951" w14:textId="77777777" w:rsidR="009E33CC" w:rsidRDefault="00000000">
      <w:r>
        <w:t xml:space="preserve">The tools are classical, the invariant-region estimate for cooperative systems and the saddle-node bifurcation; what the paper adds is their arrangement around the question of intervention, with the critical coupling as a closed-form discriminant rather than a variational pinning criterion, a collapse criterion that is not the mirror image of the recovery criterion, and an evidence-dependent threshold that creates a metastable band with an explicit annihilation locus. The biological content is kept in view: Table 1 maps every term of the model to its clinical correspondent and states what is and is not measured; eight falsifiable predictions are listed and separated into consequences of the theorems, which carry conditions of rejection under stated correspondences, clinical predictions that need an added correspondence or a stochastic model not supplied, and predictions that need a latent quantity measured; and two exploratory comparisons with published aggregate data are reported as such, without claiming power. The representation of electroconvulsive therapy within the model is stated as a hypothesis, and the </w:t>
      </w:r>
      <w:r>
        <w:lastRenderedPageBreak/>
        <w:t>one assumption on which the division rests, that the coarse-grained coupling is diffusive, is named and given a direct test.</w:t>
      </w:r>
    </w:p>
    <w:p w14:paraId="68C60A2C" w14:textId="77777777" w:rsidR="009E33CC" w:rsidRDefault="00000000">
      <w:r>
        <w:t>A single self-contained script reproduces every reported number and figure and checks each against the printed value; it is archived at Zenodo (concept DOI 10.5281/zenodo.21880298) and on GitHub under the MIT licence. The manuscript is not under consideration elsewhere. An earlier version is available as a preprint (PsyArXiv d6knq); the present version has been restructured in theorem–proof form for this journal. I declare no competing interests and no funding. A large language model was used for language editing and code review, as stated in Appendix A.11; all arguments and results are my own and were independently checked.</w:t>
      </w:r>
    </w:p>
    <w:p w14:paraId="10811A58" w14:textId="77777777" w:rsidR="009E33CC" w:rsidRDefault="00000000">
      <w:r>
        <w:t>Suggested reviewers, from dynamical systems and from clinical neuroscience (institutional contact details are entered in the submission system): Peter Ashwin, University of Exeter; Stephen Coombes, University of Nottingham; Gustavo Deco, Universitat Pompeu Fabra; Marten Scheffer, Wageningen University; Jo Ellen Wilson, Vanderbilt University Medical Center.</w:t>
      </w:r>
    </w:p>
    <w:p w14:paraId="43DC6C13" w14:textId="77777777" w:rsidR="009E33CC" w:rsidRDefault="00000000">
      <w:r>
        <w:t>Thank you for considering the manuscript.</w:t>
      </w:r>
    </w:p>
    <w:p w14:paraId="7A2AE107" w14:textId="77777777" w:rsidR="009E33CC" w:rsidRDefault="00000000">
      <w:r>
        <w:t>Yours sincerely,</w:t>
      </w:r>
      <w:r>
        <w:br/>
        <w:t>Hiroki Saito</w:t>
      </w:r>
    </w:p>
    <w:sectPr w:rsidR="009E33C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37942">
    <w:abstractNumId w:val="8"/>
  </w:num>
  <w:num w:numId="2" w16cid:durableId="911045712">
    <w:abstractNumId w:val="6"/>
  </w:num>
  <w:num w:numId="3" w16cid:durableId="1400641066">
    <w:abstractNumId w:val="5"/>
  </w:num>
  <w:num w:numId="4" w16cid:durableId="7803205">
    <w:abstractNumId w:val="4"/>
  </w:num>
  <w:num w:numId="5" w16cid:durableId="957183980">
    <w:abstractNumId w:val="7"/>
  </w:num>
  <w:num w:numId="6" w16cid:durableId="861626788">
    <w:abstractNumId w:val="3"/>
  </w:num>
  <w:num w:numId="7" w16cid:durableId="1902986009">
    <w:abstractNumId w:val="2"/>
  </w:num>
  <w:num w:numId="8" w16cid:durableId="1187599168">
    <w:abstractNumId w:val="1"/>
  </w:num>
  <w:num w:numId="9" w16cid:durableId="102459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5AC4"/>
    <w:rsid w:val="009E33CC"/>
    <w:rsid w:val="00AA1D8D"/>
    <w:rsid w:val="00B47730"/>
    <w:rsid w:val="00BE423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B7C1F2E"/>
  <w14:defaultImageDpi w14:val="300"/>
  <w15:docId w15:val="{5230E6A1-BAE1-A649-BEE0-667F8559B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611</Words>
  <Characters>3626</Characters>
  <Application>Microsoft Office Word</Application>
  <DocSecurity>0</DocSecurity>
  <Lines>53</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洋紀 齋藤</cp:lastModifiedBy>
  <cp:revision>2</cp:revision>
  <dcterms:created xsi:type="dcterms:W3CDTF">2013-12-23T23:15:00Z</dcterms:created>
  <dcterms:modified xsi:type="dcterms:W3CDTF">2026-10-20T08:12:00Z</dcterms:modified>
  <cp:category/>
</cp:coreProperties>
</file>