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1F4E79"/>
          <w:sz w:val="40"/>
        </w:rPr>
        <w:t>WBS &amp; Estimation de charge</w:t>
      </w:r>
      <w:r>
        <w:rPr>
          <w:rFonts w:ascii="Aptos" w:hAnsi="Aptos" w:eastAsia="Aptos"/>
          <w:b/>
          <w:i w:val="0"/>
          <w:color w:val="2F5597"/>
          <w:sz w:val="40"/>
        </w:rPr>
        <w:t xml:space="preserve"> - MyMemoMaster</w:t>
      </w:r>
    </w:p>
    <w:p>
      <w:pPr>
        <w:spacing w:before="0" w:after="240" w:line="240" w:lineRule="auto"/>
        <w:jc w:val="center"/>
      </w:pPr>
      <w:r>
        <w:rPr>
          <w:rFonts w:ascii="Aptos" w:hAnsi="Aptos" w:eastAsia="Aptos"/>
          <w:b w:val="0"/>
          <w:i w:val="0"/>
          <w:color w:val="555555"/>
          <w:sz w:val="21"/>
        </w:rPr>
        <w:t>Bloc 1 RNCP - C1.4.1 (charge) et C1.4.2 (budget) - Version V0.1</w:t>
      </w:r>
    </w:p>
    <w:tbl>
      <w:tblPr>
        <w:tblStyle w:val="TableGrid"/>
        <w:tblW w:type="auto" w:w="0"/>
        <w:jc w:val="center"/>
        <w:tblLook w:firstColumn="1" w:firstRow="1" w:lastColumn="0" w:lastRow="0" w:noHBand="0" w:noVBand="1" w:val="04A0"/>
      </w:tblPr>
      <w:tblGrid>
        <w:gridCol w:w="2268"/>
        <w:gridCol w:w="12756"/>
      </w:tblGrid>
      <w:tr>
        <w:tc>
          <w:tcPr>
            <w:tcW w:type="dxa" w:w="7070"/>
            <w:vAlign w:val="center"/>
            <w:tcMar>
              <w:top w:w="70" w:type="dxa"/>
              <w:start w:w="80" w:type="dxa"/>
              <w:bottom w:w="70" w:type="dxa"/>
              <w:end w:w="80" w:type="dxa"/>
            </w:tcMar>
            <w:shd w:fill="D9EAF7"/>
          </w:tcPr>
          <w:p>
            <w:pPr>
              <w:spacing w:before="0" w:after="0" w:line="252" w:lineRule="auto"/>
              <w:jc w:val="left"/>
            </w:pPr>
            <w:r/>
            <w:r>
              <w:rPr>
                <w:rFonts w:ascii="Aptos" w:hAnsi="Aptos" w:eastAsia="Aptos"/>
                <w:b/>
                <w:i w:val="0"/>
                <w:color w:val="1F1F1F"/>
                <w:sz w:val="20"/>
              </w:rPr>
              <w:t>Auteur</w:t>
            </w:r>
          </w:p>
        </w:tc>
        <w:tc>
          <w:tcPr>
            <w:tcW w:type="dxa" w:w="7070"/>
            <w:vAlign w:val="center"/>
            <w:tcMar>
              <w:top w:w="70" w:type="dxa"/>
              <w:start w:w="80" w:type="dxa"/>
              <w:bottom w:w="70" w:type="dxa"/>
              <w:end w:w="80" w:type="dxa"/>
            </w:tcMar>
            <w:shd w:fill="F8FBFE"/>
          </w:tcPr>
          <w:p>
            <w:pPr>
              <w:spacing w:before="0" w:after="0" w:line="252" w:lineRule="auto"/>
              <w:jc w:val="left"/>
            </w:pPr>
            <w:r/>
            <w:r>
              <w:rPr>
                <w:rFonts w:ascii="Aptos" w:hAnsi="Aptos" w:eastAsia="Aptos"/>
                <w:b w:val="0"/>
                <w:i w:val="0"/>
                <w:sz w:val="20"/>
              </w:rPr>
              <w:t>Frédéric Macabiau</w:t>
            </w:r>
          </w:p>
        </w:tc>
      </w:tr>
      <w:tr>
        <w:tc>
          <w:tcPr>
            <w:tcW w:type="dxa" w:w="7070"/>
            <w:vAlign w:val="center"/>
            <w:tcMar>
              <w:top w:w="70" w:type="dxa"/>
              <w:start w:w="80" w:type="dxa"/>
              <w:bottom w:w="70" w:type="dxa"/>
              <w:end w:w="80" w:type="dxa"/>
            </w:tcMar>
            <w:shd w:fill="D9EAF7"/>
          </w:tcPr>
          <w:p>
            <w:pPr>
              <w:spacing w:before="0" w:after="0" w:line="252" w:lineRule="auto"/>
              <w:jc w:val="left"/>
            </w:pPr>
            <w:r/>
            <w:r>
              <w:rPr>
                <w:rFonts w:ascii="Aptos" w:hAnsi="Aptos" w:eastAsia="Aptos"/>
                <w:b/>
                <w:i w:val="0"/>
                <w:color w:val="1F1F1F"/>
                <w:sz w:val="20"/>
              </w:rPr>
              <w:t>Date</w:t>
            </w:r>
          </w:p>
        </w:tc>
        <w:tc>
          <w:tcPr>
            <w:tcW w:type="dxa" w:w="7070"/>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20"/>
              </w:rPr>
              <w:t>11/03/2026</w:t>
            </w:r>
          </w:p>
        </w:tc>
      </w:tr>
      <w:tr>
        <w:tc>
          <w:tcPr>
            <w:tcW w:type="dxa" w:w="7070"/>
            <w:vAlign w:val="center"/>
            <w:tcMar>
              <w:top w:w="70" w:type="dxa"/>
              <w:start w:w="80" w:type="dxa"/>
              <w:bottom w:w="70" w:type="dxa"/>
              <w:end w:w="80" w:type="dxa"/>
            </w:tcMar>
            <w:shd w:fill="D9EAF7"/>
          </w:tcPr>
          <w:p>
            <w:pPr>
              <w:spacing w:before="0" w:after="0" w:line="252" w:lineRule="auto"/>
              <w:jc w:val="left"/>
            </w:pPr>
            <w:r/>
            <w:r>
              <w:rPr>
                <w:rFonts w:ascii="Aptos" w:hAnsi="Aptos" w:eastAsia="Aptos"/>
                <w:b/>
                <w:i w:val="0"/>
                <w:color w:val="1F1F1F"/>
                <w:sz w:val="20"/>
              </w:rPr>
              <w:t>Références</w:t>
            </w:r>
          </w:p>
        </w:tc>
        <w:tc>
          <w:tcPr>
            <w:tcW w:type="dxa" w:w="7070"/>
            <w:vAlign w:val="center"/>
            <w:tcMar>
              <w:top w:w="70" w:type="dxa"/>
              <w:start w:w="80" w:type="dxa"/>
              <w:bottom w:w="70" w:type="dxa"/>
              <w:end w:w="80" w:type="dxa"/>
            </w:tcMar>
            <w:shd w:fill="F8FBFE"/>
          </w:tcPr>
          <w:p>
            <w:pPr>
              <w:spacing w:before="0" w:after="0" w:line="252" w:lineRule="auto"/>
              <w:jc w:val="left"/>
            </w:pPr>
            <w:r/>
            <w:r>
              <w:rPr>
                <w:rFonts w:ascii="Aptos" w:hAnsi="Aptos" w:eastAsia="Aptos"/>
                <w:b w:val="0"/>
                <w:i w:val="0"/>
                <w:sz w:val="20"/>
              </w:rPr>
              <w:t>Backlog Odoo (tasks.json), document projet MyMemoMaster 2025, MoSCoW, user stories et référentiel RNCP.</w:t>
            </w:r>
          </w:p>
        </w:tc>
      </w:tr>
      <w:tr>
        <w:tc>
          <w:tcPr>
            <w:tcW w:type="dxa" w:w="7070"/>
            <w:vAlign w:val="center"/>
            <w:tcMar>
              <w:top w:w="70" w:type="dxa"/>
              <w:start w:w="80" w:type="dxa"/>
              <w:bottom w:w="70" w:type="dxa"/>
              <w:end w:w="80" w:type="dxa"/>
            </w:tcMar>
            <w:shd w:fill="D9EAF7"/>
          </w:tcPr>
          <w:p>
            <w:pPr>
              <w:spacing w:before="0" w:after="0" w:line="252" w:lineRule="auto"/>
              <w:jc w:val="left"/>
            </w:pPr>
            <w:r/>
            <w:r>
              <w:rPr>
                <w:rFonts w:ascii="Aptos" w:hAnsi="Aptos" w:eastAsia="Aptos"/>
                <w:b/>
                <w:i w:val="0"/>
                <w:color w:val="1F1F1F"/>
                <w:sz w:val="20"/>
              </w:rPr>
              <w:t>Objectif</w:t>
            </w:r>
          </w:p>
        </w:tc>
        <w:tc>
          <w:tcPr>
            <w:tcW w:type="dxa" w:w="7070"/>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20"/>
              </w:rPr>
              <w:t>Présenter un macro-chiffrage du MVP de MyMemoMaster à partir des tâches terminales uniquement (leaf-only), afin de justifier une première estimation budgétaire cohérente et défendable devant le jury.</w:t>
            </w:r>
          </w:p>
        </w:tc>
      </w:tr>
    </w:tbl>
    <w:p/>
    <w:p>
      <w:pPr>
        <w:spacing w:before="160" w:after="80" w:line="252" w:lineRule="auto"/>
      </w:pPr>
      <w:r>
        <w:rPr>
          <w:rFonts w:ascii="Aptos" w:hAnsi="Aptos" w:eastAsia="Aptos"/>
          <w:b/>
          <w:i w:val="0"/>
          <w:color w:val="1F4E79"/>
          <w:sz w:val="26"/>
        </w:rPr>
        <w:t>1. Périmètre estimé</w:t>
      </w:r>
    </w:p>
    <w:p>
      <w:pPr>
        <w:spacing w:before="0" w:after="80" w:line="264" w:lineRule="auto"/>
      </w:pPr>
      <w:r>
        <w:rPr>
          <w:rFonts w:ascii="Aptos" w:hAnsi="Aptos" w:eastAsia="Aptos"/>
          <w:b w:val="0"/>
          <w:i w:val="0"/>
          <w:sz w:val="21"/>
        </w:rPr>
        <w:t>Version estimée : MVP.</w:t>
      </w:r>
      <w:r>
        <w:br/>
      </w:r>
      <w:r>
        <w:rPr>
          <w:rFonts w:ascii="Aptos" w:hAnsi="Aptos" w:eastAsia="Aptos"/>
          <w:b w:val="0"/>
          <w:i w:val="0"/>
          <w:sz w:val="21"/>
        </w:rPr>
        <w:t>Périmètre inclus : application web de révision centrée sur les cartes mentales, les boîtes de Leitner, les exercices/questionnaires, les tutoriels d'usage, l'onboarding, la gestion des utilisateurs et des rôles, le socle API/BDD/stockage, ainsi qu'un premier lot établissement (espaces enseignant, administration, partage et affectation de contenus pédagogiques).</w:t>
      </w:r>
      <w:r>
        <w:br/>
      </w:r>
      <w:r>
        <w:rPr>
          <w:rFonts w:ascii="Aptos" w:hAnsi="Aptos" w:eastAsia="Aptos"/>
          <w:b w:val="0"/>
          <w:i w:val="0"/>
          <w:sz w:val="21"/>
        </w:rPr>
        <w:t>Hors périmètre : correction full IA par LLM, chatbot RAG, moteur d'embeddings, analytics avancés, forum communautaire complet, mobile natif, interconnexions tierces non essentielles, observabilité avancée et montée en charge multi-tenant.</w:t>
      </w:r>
      <w:r>
        <w:br/>
      </w:r>
      <w:r>
        <w:rPr>
          <w:rFonts w:ascii="Aptos" w:hAnsi="Aptos" w:eastAsia="Aptos"/>
          <w:b w:val="0"/>
          <w:i w:val="0"/>
          <w:sz w:val="21"/>
        </w:rPr>
        <w:t>Hypothèses clés : 1 JH = 7 h ; estimation issue du backlog détaillé en additionnant uniquement les tâches terminales pour éviter les doubles comptes ; stack web déjà cadrée ; pas de refonte majeure UX en cours d'implémentation ; les fonctionnalités IA restent optionnelles et non intégrées dans le socle MVP de base.</w:t>
      </w:r>
    </w:p>
    <w:p>
      <w:pPr>
        <w:spacing w:before="160" w:after="80" w:line="252" w:lineRule="auto"/>
      </w:pPr>
      <w:r>
        <w:rPr>
          <w:rFonts w:ascii="Aptos" w:hAnsi="Aptos" w:eastAsia="Aptos"/>
          <w:b/>
          <w:i w:val="0"/>
          <w:color w:val="1F4E79"/>
          <w:sz w:val="26"/>
        </w:rPr>
        <w:t>2. Méthode d'estimation</w:t>
      </w:r>
    </w:p>
    <w:p>
      <w:pPr>
        <w:spacing w:before="0" w:after="80" w:line="264" w:lineRule="auto"/>
      </w:pPr>
      <w:r>
        <w:rPr>
          <w:rFonts w:ascii="Aptos" w:hAnsi="Aptos" w:eastAsia="Aptos"/>
          <w:b w:val="0"/>
          <w:i w:val="0"/>
          <w:sz w:val="21"/>
        </w:rPr>
        <w:t>Outil d'analyse fonctionnelle utilisé : backlog structuré + user stories + logique MoSCoW + regroupement WBS par épics.</w:t>
      </w:r>
      <w:r>
        <w:br/>
      </w:r>
      <w:r>
        <w:rPr>
          <w:rFonts w:ascii="Aptos" w:hAnsi="Aptos" w:eastAsia="Aptos"/>
          <w:b w:val="0"/>
          <w:i w:val="0"/>
          <w:sz w:val="21"/>
        </w:rPr>
        <w:t>Approche : les tâches détaillées du backlog ont été regroupées en 10 épics cohérents couvrant Produit, Socle technique, Qualité/Exploitation et Établissement. La charge présentée ci-dessous correspond à la somme des charges leaf-only, ce qui évite les doubles-comptes entre tâches parentes et sous-tâches.</w:t>
      </w:r>
      <w:r>
        <w:br/>
      </w:r>
      <w:r>
        <w:rPr>
          <w:rFonts w:ascii="Aptos" w:hAnsi="Aptos" w:eastAsia="Aptos"/>
          <w:b w:val="0"/>
          <w:i w:val="0"/>
          <w:sz w:val="21"/>
        </w:rPr>
        <w:t>Lecture de l'estimation : la colonne Complexité donne un ordre de grandeur de l'effort, tandis que les colonnes Incertitude et Risque servent à justifier la marge appliquée en fin de document. Une marge de +20 % est retenue sur le MVP de base ; elle pourrait monter à +30 % si les fonctionnalités IA avancées étaient réintégrées au périmètre.</w:t>
      </w:r>
    </w:p>
    <w:p>
      <w:pPr>
        <w:spacing w:before="160" w:after="80" w:line="252" w:lineRule="auto"/>
      </w:pPr>
      <w:r>
        <w:rPr>
          <w:rFonts w:ascii="Aptos" w:hAnsi="Aptos" w:eastAsia="Aptos"/>
          <w:b/>
          <w:i w:val="0"/>
          <w:color w:val="1F4E79"/>
          <w:sz w:val="26"/>
        </w:rPr>
        <w:t>3. WBS - Liste des épics et estimation de charge</w:t>
      </w:r>
    </w:p>
    <w:tbl>
      <w:tblPr>
        <w:tblStyle w:val="TableGrid"/>
        <w:tblW w:type="auto" w:w="0"/>
        <w:jc w:val="center"/>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rPr>
          <w:tblHeader w:val="true"/>
        </w:trPr>
        <w:tc>
          <w:tcPr>
            <w:tcW w:type="dxa" w:w="454"/>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ID</w:t>
            </w:r>
          </w:p>
        </w:tc>
        <w:tc>
          <w:tcPr>
            <w:tcW w:type="dxa" w:w="1417"/>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Épic</w:t>
            </w:r>
          </w:p>
        </w:tc>
        <w:tc>
          <w:tcPr>
            <w:tcW w:type="dxa" w:w="2494"/>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Description (périmètre)</w:t>
            </w:r>
          </w:p>
        </w:tc>
        <w:tc>
          <w:tcPr>
            <w:tcW w:type="dxa" w:w="2041"/>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Hors périmètre</w:t>
            </w:r>
          </w:p>
        </w:tc>
        <w:tc>
          <w:tcPr>
            <w:tcW w:type="dxa" w:w="1304"/>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Dépendances</w:t>
            </w:r>
          </w:p>
        </w:tc>
        <w:tc>
          <w:tcPr>
            <w:tcW w:type="dxa" w:w="850"/>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Complexité</w:t>
            </w:r>
          </w:p>
        </w:tc>
        <w:tc>
          <w:tcPr>
            <w:tcW w:type="dxa" w:w="964"/>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Incertitude</w:t>
            </w:r>
          </w:p>
        </w:tc>
        <w:tc>
          <w:tcPr>
            <w:tcW w:type="dxa" w:w="850"/>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Risque</w:t>
            </w:r>
          </w:p>
        </w:tc>
        <w:tc>
          <w:tcPr>
            <w:tcW w:type="dxa" w:w="1020"/>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Estimation (JH)</w:t>
            </w:r>
          </w:p>
        </w:tc>
        <w:tc>
          <w:tcPr>
            <w:tcW w:type="dxa" w:w="567"/>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MVP</w:t>
            </w:r>
          </w:p>
        </w:tc>
        <w:tc>
          <w:tcPr>
            <w:tcW w:type="dxa" w:w="567"/>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V1</w:t>
            </w:r>
          </w:p>
        </w:tc>
        <w:tc>
          <w:tcPr>
            <w:tcW w:type="dxa" w:w="2948"/>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7"/>
              </w:rPr>
              <w:t>Notes / hypothèses</w:t>
            </w:r>
          </w:p>
        </w:tc>
      </w:tr>
      <w:tr>
        <w:tc>
          <w:tcPr>
            <w:tcW w:type="dxa" w:w="45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E-01</w:t>
            </w:r>
          </w:p>
        </w:tc>
        <w:tc>
          <w:tcPr>
            <w:tcW w:type="dxa" w:w="1417"/>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Cartes mentales &amp; édition visuelle</w:t>
            </w:r>
          </w:p>
        </w:tc>
        <w:tc>
          <w:tcPr>
            <w:tcW w:type="dxa" w:w="249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Création, édition et sauvegarde des cartes mentales : sujets, items, branches, zones, personnalisation, organisation par matière et premiers comportements interactifs.</w:t>
            </w:r>
          </w:p>
        </w:tc>
        <w:tc>
          <w:tcPr>
            <w:tcW w:type="dxa" w:w="204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Calcul symbolique avancé, rendu de courbes, édition collaborative temps réel, automatisations IA de génération.</w:t>
            </w:r>
          </w:p>
        </w:tc>
        <w:tc>
          <w:tcPr>
            <w:tcW w:type="dxa" w:w="130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E-05, E-06</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XL</w:t>
            </w:r>
          </w:p>
        </w:tc>
        <w:tc>
          <w:tcPr>
            <w:tcW w:type="dxa" w:w="96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Forte</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Élevé</w:t>
            </w:r>
          </w:p>
        </w:tc>
        <w:tc>
          <w:tcPr>
            <w:tcW w:type="dxa" w:w="102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18,50</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Épic UX le plus riche ; forte sensibilité à l'ergonomie et aux choix d'édition.</w:t>
            </w:r>
          </w:p>
        </w:tc>
      </w:tr>
      <w:tr>
        <w:tc>
          <w:tcPr>
            <w:tcW w:type="dxa" w:w="45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E-02</w:t>
            </w:r>
          </w:p>
        </w:tc>
        <w:tc>
          <w:tcPr>
            <w:tcW w:type="dxa" w:w="141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Boîte de Leitner &amp; révision</w:t>
            </w:r>
          </w:p>
        </w:tc>
        <w:tc>
          <w:tcPr>
            <w:tcW w:type="dxa" w:w="249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Gestion des cartes, groupes de maîtrise, logique de rappel, tirage des cartes, session de révision et lien avec les éléments de cours.</w:t>
            </w:r>
          </w:p>
        </w:tc>
        <w:tc>
          <w:tcPr>
            <w:tcW w:type="dxa" w:w="204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Génération automatique de decks, analytics poussés de mémorisation, IA de recommandation.</w:t>
            </w:r>
          </w:p>
        </w:tc>
        <w:tc>
          <w:tcPr>
            <w:tcW w:type="dxa" w:w="130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E-05, E-06</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12,00</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Nécessite une logique métier robuste mais un périmètre fonctionnel clair.</w:t>
            </w:r>
          </w:p>
        </w:tc>
      </w:tr>
      <w:tr>
        <w:tc>
          <w:tcPr>
            <w:tcW w:type="dxa" w:w="45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E-03</w:t>
            </w:r>
          </w:p>
        </w:tc>
        <w:tc>
          <w:tcPr>
            <w:tcW w:type="dxa" w:w="1417"/>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Exercices &amp; questionnaires</w:t>
            </w:r>
          </w:p>
        </w:tc>
        <w:tc>
          <w:tcPr>
            <w:tcW w:type="dxa" w:w="249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Création de séries d'exercices, player, types de réponses, correction stricte/binaire et gestion de base des échéances.</w:t>
            </w:r>
          </w:p>
        </w:tc>
        <w:tc>
          <w:tcPr>
            <w:tcW w:type="dxa" w:w="204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Correction nuancée par IA, correction full LLM, anti-triche avancée.</w:t>
            </w:r>
          </w:p>
        </w:tc>
        <w:tc>
          <w:tcPr>
            <w:tcW w:type="dxa" w:w="130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E-05, E-06</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14,14</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Le MVP couvre le mode de correction classique ; l'IA reste hors socle.</w:t>
            </w:r>
          </w:p>
        </w:tc>
      </w:tr>
      <w:tr>
        <w:tc>
          <w:tcPr>
            <w:tcW w:type="dxa" w:w="45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E-04</w:t>
            </w:r>
          </w:p>
        </w:tc>
        <w:tc>
          <w:tcPr>
            <w:tcW w:type="dxa" w:w="141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Tutoriels, onboarding &amp; ergonomie</w:t>
            </w:r>
          </w:p>
        </w:tc>
        <w:tc>
          <w:tcPr>
            <w:tcW w:type="dxa" w:w="249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Parcours d'accueil, recommandations d'usage, accès aux tutoriels, aides visuelles et éléments d'ergonomie facilitant la prise en main.</w:t>
            </w:r>
          </w:p>
        </w:tc>
        <w:tc>
          <w:tcPr>
            <w:tcW w:type="dxa" w:w="204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Pipeline audiovisuel complet, stratégie marketing, diffusion multi-canal automatisée.</w:t>
            </w:r>
          </w:p>
        </w:tc>
        <w:tc>
          <w:tcPr>
            <w:tcW w:type="dxa" w:w="130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E-01 à E-03</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w:t>
            </w:r>
          </w:p>
        </w:tc>
        <w:tc>
          <w:tcPr>
            <w:tcW w:type="dxa" w:w="96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Faible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Faible</w:t>
            </w:r>
          </w:p>
        </w:tc>
        <w:tc>
          <w:tcPr>
            <w:tcW w:type="dxa" w:w="102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8,00</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Important pour l'expérience utilisateur et l'adoption, mais techniquement peu risqué.</w:t>
            </w:r>
          </w:p>
        </w:tc>
      </w:tr>
      <w:tr>
        <w:tc>
          <w:tcPr>
            <w:tcW w:type="dxa" w:w="45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E-05</w:t>
            </w:r>
          </w:p>
        </w:tc>
        <w:tc>
          <w:tcPr>
            <w:tcW w:type="dxa" w:w="1417"/>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Authentification, rôles &amp; comptes</w:t>
            </w:r>
          </w:p>
        </w:tc>
        <w:tc>
          <w:tcPr>
            <w:tcW w:type="dxa" w:w="249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Connexion, profils utilisateur, rôles étudiant/professeur/administrateur, protections d'accès et gestion des sessions.</w:t>
            </w:r>
          </w:p>
        </w:tc>
        <w:tc>
          <w:tcPr>
            <w:tcW w:type="dxa" w:w="204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SSO/OAuth institutionnel avancé, provisioning externe, IAM complexe.</w:t>
            </w:r>
          </w:p>
        </w:tc>
        <w:tc>
          <w:tcPr>
            <w:tcW w:type="dxa" w:w="130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E-06</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w:t>
            </w:r>
          </w:p>
        </w:tc>
        <w:tc>
          <w:tcPr>
            <w:tcW w:type="dxa" w:w="96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9,50</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Socle transverse indispensable à tous les parcours.</w:t>
            </w:r>
          </w:p>
        </w:tc>
      </w:tr>
      <w:tr>
        <w:tc>
          <w:tcPr>
            <w:tcW w:type="dxa" w:w="45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E-06</w:t>
            </w:r>
          </w:p>
        </w:tc>
        <w:tc>
          <w:tcPr>
            <w:tcW w:type="dxa" w:w="141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Socle applicatif API / BDD / stockage</w:t>
            </w:r>
          </w:p>
        </w:tc>
        <w:tc>
          <w:tcPr>
            <w:tcW w:type="dxa" w:w="249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Modèle de données, persistance, API, validation, gestion des fichiers/contenus, sécurité fonctionnelle de base.</w:t>
            </w:r>
          </w:p>
        </w:tc>
        <w:tc>
          <w:tcPr>
            <w:tcW w:type="dxa" w:w="204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Multi-tenant avancé, audit trail exhaustif, haute disponibilité forte contrainte.</w:t>
            </w:r>
          </w:p>
        </w:tc>
        <w:tc>
          <w:tcPr>
            <w:tcW w:type="dxa" w:w="130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Aucune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13,00</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Épic de fondation : conditionne la stabilité et la couverture technique des besoins.</w:t>
            </w:r>
          </w:p>
        </w:tc>
      </w:tr>
      <w:tr>
        <w:tc>
          <w:tcPr>
            <w:tcW w:type="dxa" w:w="45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E-07</w:t>
            </w:r>
          </w:p>
        </w:tc>
        <w:tc>
          <w:tcPr>
            <w:tcW w:type="dxa" w:w="1417"/>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Qualité, CI/CD, déploiement &amp; exploitation minimale</w:t>
            </w:r>
          </w:p>
        </w:tc>
        <w:tc>
          <w:tcPr>
            <w:tcW w:type="dxa" w:w="249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Conteneurisation, pipeline CI/CD léger, environnement de déploiement, sauvegardes minimales, qualité de base et sécurisation initiale.</w:t>
            </w:r>
          </w:p>
        </w:tc>
        <w:tc>
          <w:tcPr>
            <w:tcW w:type="dxa" w:w="204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Observabilité complète, SRE avancé, tests de charge complets, PRA/PCA étendu.</w:t>
            </w:r>
          </w:p>
        </w:tc>
        <w:tc>
          <w:tcPr>
            <w:tcW w:type="dxa" w:w="130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E-06</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10,00</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Essentiel pour rendre le MVP démontrable et maintenable.</w:t>
            </w:r>
          </w:p>
        </w:tc>
      </w:tr>
      <w:tr>
        <w:tc>
          <w:tcPr>
            <w:tcW w:type="dxa" w:w="45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E-08</w:t>
            </w:r>
          </w:p>
        </w:tc>
        <w:tc>
          <w:tcPr>
            <w:tcW w:type="dxa" w:w="141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Ressources pédagogiques &amp; diffusion</w:t>
            </w:r>
          </w:p>
        </w:tc>
        <w:tc>
          <w:tcPr>
            <w:tcW w:type="dxa" w:w="249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Partage contrôlé de ressources, organisation des contenus par contexte pédagogique et accès côté établissement.</w:t>
            </w:r>
          </w:p>
        </w:tc>
        <w:tc>
          <w:tcPr>
            <w:tcW w:type="dxa" w:w="204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Connecteurs externes, synchronisation documentaire avancée, workflow de publication complexe.</w:t>
            </w:r>
          </w:p>
        </w:tc>
        <w:tc>
          <w:tcPr>
            <w:tcW w:type="dxa" w:w="130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E-05, E-06</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w:t>
            </w:r>
          </w:p>
        </w:tc>
        <w:tc>
          <w:tcPr>
            <w:tcW w:type="dxa" w:w="96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Faible</w:t>
            </w:r>
          </w:p>
        </w:tc>
        <w:tc>
          <w:tcPr>
            <w:tcW w:type="dxa" w:w="102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7,00</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Premier niveau de diffusion de contenu, sans logique d'intégration externe.</w:t>
            </w:r>
          </w:p>
        </w:tc>
      </w:tr>
      <w:tr>
        <w:tc>
          <w:tcPr>
            <w:tcW w:type="dxa" w:w="45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E-09</w:t>
            </w:r>
          </w:p>
        </w:tc>
        <w:tc>
          <w:tcPr>
            <w:tcW w:type="dxa" w:w="1417"/>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Espace enseignant &amp; groupes classe</w:t>
            </w:r>
          </w:p>
        </w:tc>
        <w:tc>
          <w:tcPr>
            <w:tcW w:type="dxa" w:w="249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Création de groupes/classes, affectation d'exercices et de ressources, gestion pédagogique de base côté enseignant.</w:t>
            </w:r>
          </w:p>
        </w:tc>
        <w:tc>
          <w:tcPr>
            <w:tcW w:type="dxa" w:w="204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Forum interclasse, fonctions collaboratives avancées, reporting enseignant détaillé.</w:t>
            </w:r>
          </w:p>
        </w:tc>
        <w:tc>
          <w:tcPr>
            <w:tcW w:type="dxa" w:w="1304"/>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E-03, E-05, E-06, E-08</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12,00</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6"/>
              </w:rPr>
              <w:t>Permet de relier le produit étudiant à un usage établissement crédible.</w:t>
            </w:r>
          </w:p>
        </w:tc>
      </w:tr>
      <w:tr>
        <w:tc>
          <w:tcPr>
            <w:tcW w:type="dxa" w:w="45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E-10</w:t>
            </w:r>
          </w:p>
        </w:tc>
        <w:tc>
          <w:tcPr>
            <w:tcW w:type="dxa" w:w="141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Administration &amp; pilotage établissement</w:t>
            </w:r>
          </w:p>
        </w:tc>
        <w:tc>
          <w:tcPr>
            <w:tcW w:type="dxa" w:w="249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Supervision de base, modération, administration des comptes et vue de pilotage institutionnelle minimale.</w:t>
            </w:r>
          </w:p>
        </w:tc>
        <w:tc>
          <w:tcPr>
            <w:tcW w:type="dxa" w:w="204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Multi-établissement complet, tableaux de bord décisionnels, gouvernance avancée.</w:t>
            </w:r>
          </w:p>
        </w:tc>
        <w:tc>
          <w:tcPr>
            <w:tcW w:type="dxa" w:w="1304"/>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E-05, E-06, E-09</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L</w:t>
            </w:r>
          </w:p>
        </w:tc>
        <w:tc>
          <w:tcPr>
            <w:tcW w:type="dxa" w:w="96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Moyenne</w:t>
            </w:r>
          </w:p>
        </w:tc>
        <w:tc>
          <w:tcPr>
            <w:tcW w:type="dxa" w:w="85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Moyen</w:t>
            </w:r>
          </w:p>
        </w:tc>
        <w:tc>
          <w:tcPr>
            <w:tcW w:type="dxa" w:w="1020"/>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11,00</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567"/>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6"/>
              </w:rPr>
              <w:t>O</w:t>
            </w:r>
          </w:p>
        </w:tc>
        <w:tc>
          <w:tcPr>
            <w:tcW w:type="dxa" w:w="294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6"/>
              </w:rPr>
              <w:t>Lot utile pour démontrer la dimension établissement sans viser un ERP complet.</w:t>
            </w:r>
          </w:p>
        </w:tc>
      </w:tr>
    </w:tbl>
    <w:p/>
    <w:p>
      <w:pPr>
        <w:spacing w:before="160" w:after="80" w:line="252" w:lineRule="auto"/>
      </w:pPr>
      <w:r>
        <w:rPr>
          <w:rFonts w:ascii="Aptos" w:hAnsi="Aptos" w:eastAsia="Aptos"/>
          <w:b/>
          <w:i w:val="0"/>
          <w:color w:val="1F4E79"/>
          <w:sz w:val="26"/>
        </w:rPr>
        <w:t>4. Résumé de charge</w:t>
      </w:r>
    </w:p>
    <w:p>
      <w:pPr>
        <w:spacing w:before="0" w:after="80" w:line="264" w:lineRule="auto"/>
      </w:pPr>
      <w:r>
        <w:rPr>
          <w:rFonts w:ascii="Aptos" w:hAnsi="Aptos" w:eastAsia="Aptos"/>
          <w:b w:val="0"/>
          <w:i w:val="0"/>
          <w:sz w:val="21"/>
        </w:rPr>
        <w:t>Total charge MVP : 115,14 JH, soit environ 806 h.</w:t>
      </w:r>
      <w:r>
        <w:br/>
      </w:r>
      <w:r>
        <w:rPr>
          <w:rFonts w:ascii="Aptos" w:hAnsi="Aptos" w:eastAsia="Aptos"/>
          <w:b w:val="0"/>
          <w:i w:val="0"/>
          <w:sz w:val="21"/>
        </w:rPr>
        <w:t>Répartition par packs : Pack étudiant = 52,64 JH (45,7 %) ; Socle commun = 32,50 JH (28,2 %) ; Pack établissement = 30,00 JH (26,1 %).</w:t>
      </w:r>
      <w:r>
        <w:br/>
      </w:r>
      <w:r>
        <w:rPr>
          <w:rFonts w:ascii="Aptos" w:hAnsi="Aptos" w:eastAsia="Aptos"/>
          <w:b w:val="0"/>
          <w:i w:val="0"/>
          <w:sz w:val="21"/>
        </w:rPr>
        <w:t>Scénario étendu (MVP + GIT + MISC + DOC) : 127,79 JH, soit environ 894,5 h.</w:t>
      </w:r>
      <w:r>
        <w:br/>
      </w:r>
      <w:r>
        <w:rPr>
          <w:rFonts w:ascii="Aptos" w:hAnsi="Aptos" w:eastAsia="Aptos"/>
          <w:b w:val="0"/>
          <w:i w:val="0"/>
          <w:sz w:val="21"/>
        </w:rPr>
        <w:t>Marge de risque retenue : +20 % sur le MVP de base, soit un total chargé de 138,17 JH.</w:t>
      </w:r>
      <w:r>
        <w:br/>
      </w:r>
      <w:r>
        <w:rPr>
          <w:rFonts w:ascii="Aptos" w:hAnsi="Aptos" w:eastAsia="Aptos"/>
          <w:b w:val="0"/>
          <w:i w:val="0"/>
          <w:sz w:val="21"/>
        </w:rPr>
        <w:t>Répartition indicative par dominantes techniques : Front = 38,00 JH ; Back = 44,00 JH ; DevOps / qualité / sécurité = 17,00 JH ; UX, onboarding et contenus = 16,14 JH.</w:t>
      </w:r>
    </w:p>
    <w:p>
      <w:pPr>
        <w:spacing w:before="160" w:after="80" w:line="252" w:lineRule="auto"/>
      </w:pPr>
      <w:r>
        <w:rPr>
          <w:rFonts w:ascii="Aptos" w:hAnsi="Aptos" w:eastAsia="Aptos"/>
          <w:b/>
          <w:i w:val="0"/>
          <w:color w:val="1F4E79"/>
          <w:sz w:val="26"/>
        </w:rPr>
        <w:t>5. Passage au budget (C1.4.2)</w:t>
      </w:r>
    </w:p>
    <w:p>
      <w:pPr>
        <w:spacing w:before="0" w:after="80" w:line="264" w:lineRule="auto"/>
      </w:pPr>
      <w:r>
        <w:rPr>
          <w:rFonts w:ascii="Aptos" w:hAnsi="Aptos" w:eastAsia="Aptos"/>
          <w:b w:val="0"/>
          <w:i w:val="0"/>
          <w:sz w:val="21"/>
        </w:rPr>
        <w:t>L'estimation budgétaire ci-dessous reste volontairement prudente. Elle distingue le coût humain, directement dérivé de la charge en JH, des coûts techniques récurrents. Les postes IA restent traités à part car ils dépendent du choix final d'architecture (LLM local, API tierce, quotas, cache).</w:t>
      </w:r>
    </w:p>
    <w:tbl>
      <w:tblPr>
        <w:tblStyle w:val="TableGrid"/>
        <w:tblW w:type="auto" w:w="0"/>
        <w:jc w:val="center"/>
        <w:tblLook w:firstColumn="1" w:firstRow="1" w:lastColumn="0" w:lastRow="0" w:noHBand="0" w:noVBand="1" w:val="04A0"/>
      </w:tblPr>
      <w:tblGrid>
        <w:gridCol w:w="4713"/>
        <w:gridCol w:w="4713"/>
        <w:gridCol w:w="4713"/>
      </w:tblGrid>
      <w:tr>
        <w:trPr>
          <w:tblHeader w:val="true"/>
        </w:trPr>
        <w:tc>
          <w:tcPr>
            <w:tcW w:type="dxa" w:w="3515"/>
            <w:vAlign w:val="center"/>
            <w:tcMar>
              <w:top w:w="70" w:type="dxa"/>
              <w:start w:w="80" w:type="dxa"/>
              <w:bottom w:w="70" w:type="dxa"/>
              <w:end w:w="80" w:type="dxa"/>
            </w:tcMar>
            <w:shd w:fill="2F5597"/>
          </w:tcPr>
          <w:p>
            <w:pPr>
              <w:spacing w:before="0" w:after="0" w:line="252" w:lineRule="auto"/>
              <w:jc w:val="center"/>
            </w:pPr>
            <w:r/>
            <w:r>
              <w:rPr>
                <w:rFonts w:ascii="Aptos" w:hAnsi="Aptos" w:eastAsia="Aptos"/>
                <w:b/>
                <w:i w:val="0"/>
                <w:color w:val="FFFFFF"/>
                <w:sz w:val="18"/>
              </w:rPr>
              <w:t>Poste</w:t>
            </w:r>
          </w:p>
        </w:tc>
        <w:tc>
          <w:tcPr>
            <w:tcW w:type="dxa" w:w="7257"/>
            <w:vAlign w:val="center"/>
            <w:tcMar>
              <w:top w:w="70" w:type="dxa"/>
              <w:start w:w="80" w:type="dxa"/>
              <w:bottom w:w="70" w:type="dxa"/>
              <w:end w:w="80" w:type="dxa"/>
            </w:tcMar>
            <w:shd w:fill="2F5597"/>
          </w:tcPr>
          <w:p>
            <w:pPr>
              <w:spacing w:before="0" w:after="0" w:line="252" w:lineRule="auto"/>
              <w:jc w:val="center"/>
            </w:pPr>
            <w:r/>
            <w:r>
              <w:rPr>
                <w:rFonts w:ascii="Aptos" w:hAnsi="Aptos" w:eastAsia="Aptos"/>
                <w:b/>
                <w:i w:val="0"/>
                <w:color w:val="FFFFFF"/>
                <w:sz w:val="18"/>
              </w:rPr>
              <w:t>Hypothèse</w:t>
            </w:r>
          </w:p>
        </w:tc>
        <w:tc>
          <w:tcPr>
            <w:tcW w:type="dxa" w:w="4252"/>
            <w:vAlign w:val="center"/>
            <w:tcMar>
              <w:top w:w="70" w:type="dxa"/>
              <w:start w:w="80" w:type="dxa"/>
              <w:bottom w:w="70" w:type="dxa"/>
              <w:end w:w="80" w:type="dxa"/>
            </w:tcMar>
            <w:shd w:fill="2F5597"/>
          </w:tcPr>
          <w:p>
            <w:pPr>
              <w:spacing w:before="0" w:after="0" w:line="252" w:lineRule="auto"/>
              <w:jc w:val="center"/>
            </w:pPr>
            <w:r/>
            <w:r>
              <w:rPr>
                <w:rFonts w:ascii="Aptos" w:hAnsi="Aptos" w:eastAsia="Aptos"/>
                <w:b/>
                <w:i w:val="0"/>
                <w:color w:val="FFFFFF"/>
                <w:sz w:val="18"/>
              </w:rPr>
              <w:t>Montant estimé</w:t>
            </w:r>
          </w:p>
        </w:tc>
      </w:tr>
      <w:tr>
        <w:tc>
          <w:tcPr>
            <w:tcW w:type="dxa" w:w="3515"/>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Coût humain MVP</w:t>
            </w:r>
          </w:p>
        </w:tc>
        <w:tc>
          <w:tcPr>
            <w:tcW w:type="dxa" w:w="7257"/>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115,14 JH x 240 EUR / JH</w:t>
            </w:r>
          </w:p>
        </w:tc>
        <w:tc>
          <w:tcPr>
            <w:tcW w:type="dxa" w:w="4252"/>
            <w:vAlign w:val="center"/>
            <w:tcMar>
              <w:top w:w="70" w:type="dxa"/>
              <w:start w:w="80" w:type="dxa"/>
              <w:bottom w:w="70" w:type="dxa"/>
              <w:end w:w="80" w:type="dxa"/>
            </w:tcMar>
            <w:shd w:fill="F7F9FC"/>
          </w:tcPr>
          <w:p>
            <w:pPr>
              <w:spacing w:before="0" w:after="0" w:line="252" w:lineRule="auto"/>
              <w:jc w:val="center"/>
            </w:pPr>
            <w:r/>
            <w:r>
              <w:rPr>
                <w:rFonts w:ascii="Aptos" w:hAnsi="Aptos" w:eastAsia="Aptos"/>
                <w:b w:val="0"/>
                <w:i w:val="0"/>
                <w:sz w:val="17"/>
              </w:rPr>
              <w:t>27 633,60 EUR</w:t>
            </w:r>
          </w:p>
        </w:tc>
      </w:tr>
      <w:tr>
        <w:tc>
          <w:tcPr>
            <w:tcW w:type="dxa" w:w="3515"/>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Marge de risque</w:t>
            </w:r>
          </w:p>
        </w:tc>
        <w:tc>
          <w:tcPr>
            <w:tcW w:type="dxa" w:w="725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23,03 JH supplémentaires (20 %)</w:t>
            </w:r>
          </w:p>
        </w:tc>
        <w:tc>
          <w:tcPr>
            <w:tcW w:type="dxa" w:w="4252"/>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5 526,72 EUR</w:t>
            </w:r>
          </w:p>
        </w:tc>
      </w:tr>
      <w:tr>
        <w:tc>
          <w:tcPr>
            <w:tcW w:type="dxa" w:w="3515"/>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Total humain avec marge</w:t>
            </w:r>
          </w:p>
        </w:tc>
        <w:tc>
          <w:tcPr>
            <w:tcW w:type="dxa" w:w="7257"/>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138,17 JH x 240 EUR / JH</w:t>
            </w:r>
          </w:p>
        </w:tc>
        <w:tc>
          <w:tcPr>
            <w:tcW w:type="dxa" w:w="4252"/>
            <w:vAlign w:val="center"/>
            <w:tcMar>
              <w:top w:w="70" w:type="dxa"/>
              <w:start w:w="80" w:type="dxa"/>
              <w:bottom w:w="70" w:type="dxa"/>
              <w:end w:w="80" w:type="dxa"/>
            </w:tcMar>
            <w:shd w:fill="F7F9FC"/>
          </w:tcPr>
          <w:p>
            <w:pPr>
              <w:spacing w:before="0" w:after="0" w:line="252" w:lineRule="auto"/>
              <w:jc w:val="center"/>
            </w:pPr>
            <w:r/>
            <w:r>
              <w:rPr>
                <w:rFonts w:ascii="Aptos" w:hAnsi="Aptos" w:eastAsia="Aptos"/>
                <w:b w:val="0"/>
                <w:i w:val="0"/>
                <w:sz w:val="17"/>
              </w:rPr>
              <w:t>33 160,32 EUR</w:t>
            </w:r>
          </w:p>
        </w:tc>
      </w:tr>
      <w:tr>
        <w:tc>
          <w:tcPr>
            <w:tcW w:type="dxa" w:w="3515"/>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Scénario étendu</w:t>
            </w:r>
          </w:p>
        </w:tc>
        <w:tc>
          <w:tcPr>
            <w:tcW w:type="dxa" w:w="725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127,79 JH x 240 EUR / JH</w:t>
            </w:r>
          </w:p>
        </w:tc>
        <w:tc>
          <w:tcPr>
            <w:tcW w:type="dxa" w:w="4252"/>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30 669,60 EUR</w:t>
            </w:r>
          </w:p>
        </w:tc>
      </w:tr>
      <w:tr>
        <w:tc>
          <w:tcPr>
            <w:tcW w:type="dxa" w:w="3515"/>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Scénario étendu avec marge</w:t>
            </w:r>
          </w:p>
        </w:tc>
        <w:tc>
          <w:tcPr>
            <w:tcW w:type="dxa" w:w="7257"/>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153,35 JH x 240 EUR / JH</w:t>
            </w:r>
          </w:p>
        </w:tc>
        <w:tc>
          <w:tcPr>
            <w:tcW w:type="dxa" w:w="4252"/>
            <w:vAlign w:val="center"/>
            <w:tcMar>
              <w:top w:w="70" w:type="dxa"/>
              <w:start w:w="80" w:type="dxa"/>
              <w:bottom w:w="70" w:type="dxa"/>
              <w:end w:w="80" w:type="dxa"/>
            </w:tcMar>
            <w:shd w:fill="F7F9FC"/>
          </w:tcPr>
          <w:p>
            <w:pPr>
              <w:spacing w:before="0" w:after="0" w:line="252" w:lineRule="auto"/>
              <w:jc w:val="center"/>
            </w:pPr>
            <w:r/>
            <w:r>
              <w:rPr>
                <w:rFonts w:ascii="Aptos" w:hAnsi="Aptos" w:eastAsia="Aptos"/>
                <w:b w:val="0"/>
                <w:i w:val="0"/>
                <w:sz w:val="17"/>
              </w:rPr>
              <w:t>36 803,52 EUR</w:t>
            </w:r>
          </w:p>
        </w:tc>
      </w:tr>
      <w:tr>
        <w:tc>
          <w:tcPr>
            <w:tcW w:type="dxa" w:w="3515"/>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Infrastructure fixe</w:t>
            </w:r>
          </w:p>
        </w:tc>
        <w:tc>
          <w:tcPr>
            <w:tcW w:type="dxa" w:w="7257"/>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Domaine, DNS, hébergement, sauvegarde et stockage</w:t>
            </w:r>
          </w:p>
        </w:tc>
        <w:tc>
          <w:tcPr>
            <w:tcW w:type="dxa" w:w="4252"/>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ordre de grandeur : 30 a 60 EUR / mois</w:t>
            </w:r>
          </w:p>
        </w:tc>
      </w:tr>
      <w:tr>
        <w:tc>
          <w:tcPr>
            <w:tcW w:type="dxa" w:w="3515"/>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IA variable</w:t>
            </w:r>
          </w:p>
        </w:tc>
        <w:tc>
          <w:tcPr>
            <w:tcW w:type="dxa" w:w="7257"/>
            <w:vAlign w:val="center"/>
            <w:tcMar>
              <w:top w:w="70" w:type="dxa"/>
              <w:start w:w="80" w:type="dxa"/>
              <w:bottom w:w="70" w:type="dxa"/>
              <w:end w:w="80" w:type="dxa"/>
            </w:tcMar>
            <w:shd w:fill="F7F9FC"/>
          </w:tcPr>
          <w:p>
            <w:pPr>
              <w:spacing w:before="0" w:after="0" w:line="252" w:lineRule="auto"/>
              <w:jc w:val="left"/>
            </w:pPr>
            <w:r/>
            <w:r>
              <w:rPr>
                <w:rFonts w:ascii="Aptos" w:hAnsi="Aptos" w:eastAsia="Aptos"/>
                <w:b w:val="0"/>
                <w:i w:val="0"/>
                <w:sz w:val="17"/>
              </w:rPr>
              <w:t>Hors baseline MVP ; a calibrer selon le volume d'usage</w:t>
            </w:r>
          </w:p>
        </w:tc>
        <w:tc>
          <w:tcPr>
            <w:tcW w:type="dxa" w:w="4252"/>
            <w:vAlign w:val="center"/>
            <w:tcMar>
              <w:top w:w="70" w:type="dxa"/>
              <w:start w:w="80" w:type="dxa"/>
              <w:bottom w:w="70" w:type="dxa"/>
              <w:end w:w="80" w:type="dxa"/>
            </w:tcMar>
            <w:shd w:fill="F7F9FC"/>
          </w:tcPr>
          <w:p>
            <w:pPr>
              <w:spacing w:before="0" w:after="0" w:line="252" w:lineRule="auto"/>
              <w:jc w:val="center"/>
            </w:pPr>
            <w:r/>
            <w:r>
              <w:rPr>
                <w:rFonts w:ascii="Aptos" w:hAnsi="Aptos" w:eastAsia="Aptos"/>
                <w:b w:val="0"/>
                <w:i w:val="0"/>
                <w:sz w:val="17"/>
              </w:rPr>
              <w:t>poste optionnel / a chiffrer séparément</w:t>
            </w:r>
          </w:p>
        </w:tc>
      </w:tr>
    </w:tbl>
    <w:p>
      <w:pPr>
        <w:spacing w:before="0" w:after="80" w:line="264" w:lineRule="auto"/>
      </w:pPr>
      <w:r>
        <w:rPr>
          <w:rFonts w:ascii="Aptos" w:hAnsi="Aptos" w:eastAsia="Aptos"/>
          <w:b w:val="0"/>
          <w:i w:val="0"/>
          <w:sz w:val="21"/>
        </w:rPr>
        <w:t>Lecture recommandée pour le jury : le budget previsionnel de reference du MVP se situe donc autour de 33,2 kEUR en integrant une marge de risque raisonnable, hors couts IA variables et hors options non retenues dans le socle.</w:t>
      </w:r>
    </w:p>
    <w:p>
      <w:pPr>
        <w:spacing w:before="160" w:after="80" w:line="252" w:lineRule="auto"/>
      </w:pPr>
      <w:r>
        <w:rPr>
          <w:rFonts w:ascii="Aptos" w:hAnsi="Aptos" w:eastAsia="Aptos"/>
          <w:b/>
          <w:i w:val="0"/>
          <w:color w:val="1F4E79"/>
          <w:sz w:val="26"/>
        </w:rPr>
        <w:t>6. Historique des versions</w:t>
      </w:r>
    </w:p>
    <w:tbl>
      <w:tblPr>
        <w:tblStyle w:val="TableGrid"/>
        <w:tblW w:type="auto" w:w="0"/>
        <w:jc w:val="center"/>
        <w:tblLook w:firstColumn="1" w:firstRow="1" w:lastColumn="0" w:lastRow="0" w:noHBand="0" w:noVBand="1" w:val="04A0"/>
      </w:tblPr>
      <w:tblGrid>
        <w:gridCol w:w="3535"/>
        <w:gridCol w:w="3535"/>
        <w:gridCol w:w="3535"/>
        <w:gridCol w:w="3535"/>
      </w:tblGrid>
      <w:tr>
        <w:trPr>
          <w:tblHeader w:val="true"/>
        </w:trPr>
        <w:tc>
          <w:tcPr>
            <w:tcW w:type="dxa" w:w="1134"/>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8"/>
              </w:rPr>
              <w:t>Version</w:t>
            </w:r>
          </w:p>
        </w:tc>
        <w:tc>
          <w:tcPr>
            <w:tcW w:type="dxa" w:w="1701"/>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8"/>
              </w:rPr>
              <w:t>Date</w:t>
            </w:r>
          </w:p>
        </w:tc>
        <w:tc>
          <w:tcPr>
            <w:tcW w:type="dxa" w:w="2268"/>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8"/>
              </w:rPr>
              <w:t>Auteur</w:t>
            </w:r>
          </w:p>
        </w:tc>
        <w:tc>
          <w:tcPr>
            <w:tcW w:type="dxa" w:w="9921"/>
            <w:vAlign w:val="center"/>
            <w:tcMar>
              <w:top w:w="70" w:type="dxa"/>
              <w:start w:w="80" w:type="dxa"/>
              <w:bottom w:w="70" w:type="dxa"/>
              <w:end w:w="80" w:type="dxa"/>
            </w:tcMar>
            <w:shd w:fill="1F4E79"/>
          </w:tcPr>
          <w:p>
            <w:pPr>
              <w:spacing w:before="0" w:after="0" w:line="252" w:lineRule="auto"/>
              <w:jc w:val="center"/>
            </w:pPr>
            <w:r/>
            <w:r>
              <w:rPr>
                <w:rFonts w:ascii="Aptos" w:hAnsi="Aptos" w:eastAsia="Aptos"/>
                <w:b/>
                <w:i w:val="0"/>
                <w:color w:val="FFFFFF"/>
                <w:sz w:val="18"/>
              </w:rPr>
              <w:t>Changements</w:t>
            </w:r>
          </w:p>
        </w:tc>
      </w:tr>
      <w:tr>
        <w:tc>
          <w:tcPr>
            <w:tcW w:type="dxa" w:w="1134"/>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V0</w:t>
            </w:r>
          </w:p>
        </w:tc>
        <w:tc>
          <w:tcPr>
            <w:tcW w:type="dxa" w:w="1701"/>
            <w:vAlign w:val="center"/>
            <w:tcMar>
              <w:top w:w="70" w:type="dxa"/>
              <w:start w:w="80" w:type="dxa"/>
              <w:bottom w:w="70" w:type="dxa"/>
              <w:end w:w="80" w:type="dxa"/>
            </w:tcMar>
            <w:shd w:fill="F7FBFF"/>
          </w:tcPr>
          <w:p>
            <w:pPr>
              <w:spacing w:before="0" w:after="0" w:line="252" w:lineRule="auto"/>
              <w:jc w:val="center"/>
            </w:pPr>
            <w:r/>
            <w:r>
              <w:rPr>
                <w:rFonts w:ascii="Aptos" w:hAnsi="Aptos" w:eastAsia="Aptos"/>
                <w:b w:val="0"/>
                <w:i w:val="0"/>
                <w:sz w:val="17"/>
              </w:rPr>
              <w:t>07/03/2026</w:t>
            </w:r>
          </w:p>
        </w:tc>
        <w:tc>
          <w:tcPr>
            <w:tcW w:type="dxa" w:w="2268"/>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Frédéric Macabiau</w:t>
            </w:r>
          </w:p>
        </w:tc>
        <w:tc>
          <w:tcPr>
            <w:tcW w:type="dxa" w:w="9921"/>
            <w:vAlign w:val="center"/>
            <w:tcMar>
              <w:top w:w="70" w:type="dxa"/>
              <w:start w:w="80" w:type="dxa"/>
              <w:bottom w:w="70" w:type="dxa"/>
              <w:end w:w="80" w:type="dxa"/>
            </w:tcMar>
            <w:shd w:fill="F7FBFF"/>
          </w:tcPr>
          <w:p>
            <w:pPr>
              <w:spacing w:before="0" w:after="0" w:line="252" w:lineRule="auto"/>
              <w:jc w:val="left"/>
            </w:pPr>
            <w:r/>
            <w:r>
              <w:rPr>
                <w:rFonts w:ascii="Aptos" w:hAnsi="Aptos" w:eastAsia="Aptos"/>
                <w:b w:val="0"/>
                <w:i w:val="0"/>
                <w:sz w:val="17"/>
              </w:rPr>
              <w:t>Création du template d'estimation de charge.</w:t>
            </w:r>
          </w:p>
        </w:tc>
      </w:tr>
      <w:tr>
        <w:tc>
          <w:tcPr>
            <w:tcW w:type="dxa" w:w="1134"/>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V0.1</w:t>
            </w:r>
          </w:p>
        </w:tc>
        <w:tc>
          <w:tcPr>
            <w:tcW w:type="dxa" w:w="1701"/>
            <w:vAlign w:val="center"/>
            <w:tcMar>
              <w:top w:w="70" w:type="dxa"/>
              <w:start w:w="80" w:type="dxa"/>
              <w:bottom w:w="70" w:type="dxa"/>
              <w:end w:w="80" w:type="dxa"/>
            </w:tcMar>
          </w:tcPr>
          <w:p>
            <w:pPr>
              <w:spacing w:before="0" w:after="0" w:line="252" w:lineRule="auto"/>
              <w:jc w:val="center"/>
            </w:pPr>
            <w:r/>
            <w:r>
              <w:rPr>
                <w:rFonts w:ascii="Aptos" w:hAnsi="Aptos" w:eastAsia="Aptos"/>
                <w:b w:val="0"/>
                <w:i w:val="0"/>
                <w:sz w:val="17"/>
              </w:rPr>
              <w:t>11/03/2026</w:t>
            </w:r>
          </w:p>
        </w:tc>
        <w:tc>
          <w:tcPr>
            <w:tcW w:type="dxa" w:w="2268"/>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Frédéric Macabiau</w:t>
            </w:r>
          </w:p>
        </w:tc>
        <w:tc>
          <w:tcPr>
            <w:tcW w:type="dxa" w:w="9921"/>
            <w:vAlign w:val="center"/>
            <w:tcMar>
              <w:top w:w="70" w:type="dxa"/>
              <w:start w:w="80" w:type="dxa"/>
              <w:bottom w:w="70" w:type="dxa"/>
              <w:end w:w="80" w:type="dxa"/>
            </w:tcMar>
          </w:tcPr>
          <w:p>
            <w:pPr>
              <w:spacing w:before="0" w:after="0" w:line="252" w:lineRule="auto"/>
              <w:jc w:val="left"/>
            </w:pPr>
            <w:r/>
            <w:r>
              <w:rPr>
                <w:rFonts w:ascii="Aptos" w:hAnsi="Aptos" w:eastAsia="Aptos"/>
                <w:b w:val="0"/>
                <w:i w:val="0"/>
                <w:sz w:val="17"/>
              </w:rPr>
              <w:t>Remplissage du document, consolidation du chiffrage leaf-only, ajout du résumé de charge et du budget prévisionnel.</w:t>
            </w:r>
          </w:p>
        </w:tc>
      </w:tr>
    </w:tbl>
    <w:sectPr w:rsidR="00FC693F" w:rsidRPr="0006063C" w:rsidSect="00034616">
      <w:pgSz w:w="15840" w:h="12240" w:orient="landscape"/>
      <w:pgMar w:top="90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