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1C66A0" w14:textId="77777777">
      <w:pPr>
        <w:pBdr/>
        <w:spacing/>
        <w:ind/>
        <w:jc w:val="center"/>
        <w:rPr/>
      </w:pPr>
      <w:r>
        <w:rPr>
          <w:b/>
          <w:sz w:val="40"/>
        </w:rPr>
        <w:t xml:space="preserve">Benchmark d’architecture — MyMemoMaster</w:t>
      </w:r>
      <w:r/>
    </w:p>
    <w:p w14:paraId="249A0243" w14:textId="77777777">
      <w:pPr>
        <w:pBdr/>
        <w:spacing/>
        <w:ind/>
        <w:jc w:val="center"/>
        <w:rPr/>
      </w:pPr>
      <w:r>
        <w:t xml:space="preserve">Document de décision d’architecture (Architecture Decision Record)</w:t>
      </w:r>
      <w:r/>
    </w:p>
    <w:p w14:paraId="43557AAA" w14:textId="77777777">
      <w:pPr>
        <w:pBdr/>
        <w:spacing/>
        <w:ind/>
        <w:rPr/>
      </w:pPr>
      <w:r/>
      <w:r/>
    </w:p>
    <w:p w14:paraId="25C7A4D2" w14:textId="61AACEBE">
      <w:pPr>
        <w:pBdr/>
        <w:spacing/>
        <w:ind/>
        <w:rPr>
          <w:lang w:val="fr-FR"/>
        </w:rPr>
      </w:pPr>
      <w:r>
        <w:rPr>
          <w:b/>
          <w:lang w:val="fr-FR"/>
        </w:rPr>
        <w:t xml:space="preserve">Projet : </w:t>
      </w:r>
      <w:r>
        <w:rPr>
          <w:lang w:val="fr-FR"/>
        </w:rPr>
        <w:t xml:space="preserve">MyMemoMaster</w:t>
      </w:r>
      <w:r>
        <w:rPr>
          <w:lang w:val="fr-FR"/>
        </w:rPr>
        <w:br/>
      </w:r>
      <w:r>
        <w:rPr>
          <w:b/>
          <w:lang w:val="fr-FR"/>
        </w:rPr>
        <w:t xml:space="preserve">Version : </w:t>
      </w:r>
      <w:r>
        <w:rPr>
          <w:lang w:val="fr-FR"/>
        </w:rPr>
        <w:t xml:space="preserve">v1.0</w:t>
      </w:r>
      <w:r>
        <w:rPr>
          <w:lang w:val="fr-FR"/>
        </w:rPr>
        <w:br/>
      </w:r>
      <w:r>
        <w:rPr>
          <w:b/>
          <w:lang w:val="fr-FR"/>
        </w:rPr>
        <w:t xml:space="preserve">Date : </w:t>
      </w:r>
      <w:r>
        <w:rPr>
          <w:lang w:val="fr-FR"/>
        </w:rPr>
        <w:t xml:space="preserve">25/01/2026</w:t>
      </w:r>
      <w:r>
        <w:rPr>
          <w:lang w:val="fr-FR"/>
        </w:rPr>
        <w:br/>
      </w:r>
      <w:r>
        <w:rPr>
          <w:b/>
          <w:lang w:val="fr-FR"/>
        </w:rPr>
        <w:t xml:space="preserve">Auteur(s) : </w:t>
      </w:r>
      <w:r>
        <w:rPr>
          <w:lang w:val="fr-FR"/>
        </w:rPr>
        <w:t xml:space="preserve">M</w:t>
      </w:r>
      <w:r>
        <w:rPr>
          <w:lang w:val="fr-FR"/>
        </w:rPr>
        <w:t xml:space="preserve">acabiau Frédéric</w:t>
      </w:r>
      <w:r>
        <w:rPr>
          <w:lang w:val="fr-FR"/>
        </w:rPr>
        <w:br/>
      </w:r>
      <w:r>
        <w:rPr>
          <w:b/>
          <w:lang w:val="fr-FR"/>
        </w:rPr>
        <w:t xml:space="preserve">Statut : </w:t>
      </w:r>
      <w:r>
        <w:rPr>
          <w:lang w:val="fr-FR"/>
        </w:rPr>
        <w:t xml:space="preserve">Brouillon</w:t>
      </w:r>
      <w:r>
        <w:rPr>
          <w:lang w:val="fr-FR"/>
        </w:rPr>
      </w:r>
    </w:p>
    <w:p w14:paraId="770AC262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1. Contexte</w:t>
      </w:r>
      <w:r>
        <w:rPr>
          <w:lang w:val="fr-FR"/>
        </w:rPr>
      </w:r>
    </w:p>
    <w:p w14:paraId="72D02F59" w14:textId="77777777">
      <w:pPr>
        <w:pBdr/>
        <w:spacing/>
        <w:ind w:firstLine="720"/>
        <w:rPr>
          <w:lang w:val="fr-FR"/>
        </w:rPr>
      </w:pPr>
      <w:r>
        <w:rPr>
          <w:lang w:val="fr-FR"/>
        </w:rPr>
        <w:t xml:space="preserve">MyMemoMaster est une application web. Le dépôt montre</w:t>
      </w:r>
      <w:r>
        <w:rPr>
          <w:lang w:val="fr-FR"/>
        </w:rPr>
        <w:t xml:space="preserve"> une séparation Front / API / IA / Base de données (répertoires typiques : my_memo_master_front, my_memo_master_api, service IA, postgres) et un déploiement via docker-compose avec reverse-proxy (Traefik). Le Front est accessible en “/” et l’API en “/api”.</w:t>
      </w:r>
      <w:r>
        <w:rPr>
          <w:lang w:val="fr-FR"/>
        </w:rPr>
      </w:r>
    </w:p>
    <w:p w14:paraId="37B54C03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2. Contraintes de décision</w:t>
      </w:r>
      <w:r>
        <w:rPr>
          <w:lang w:val="fr-FR"/>
        </w:rPr>
      </w:r>
    </w:p>
    <w:p w14:paraId="4131F179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Time-to-market : priorité au MVP et à des itérations rapides.</w:t>
      </w:r>
      <w:r>
        <w:rPr>
          <w:lang w:val="fr-FR"/>
        </w:rPr>
      </w:r>
    </w:p>
    <w:p w14:paraId="34097564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Exploitation sur infrastructure limitée (VPS / cloud) : éviter une complexité Ops excessive.</w:t>
      </w:r>
      <w:r>
        <w:rPr>
          <w:lang w:val="fr-FR"/>
        </w:rPr>
      </w:r>
    </w:p>
    <w:p w14:paraId="69E94D46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Sécurité : limiter la surface d’attaque, gérer correctement les secrets, contrôler les accès, isoler la base de données.</w:t>
      </w:r>
      <w:r>
        <w:rPr>
          <w:lang w:val="fr-FR"/>
        </w:rPr>
      </w:r>
    </w:p>
    <w:p w14:paraId="36466F5D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Maintenance : conserver un code modulaire, lisible et facile à faire évoluer.</w:t>
      </w:r>
      <w:r>
        <w:rPr>
          <w:lang w:val="fr-FR"/>
        </w:rPr>
      </w:r>
    </w:p>
    <w:p w14:paraId="472B2311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Modularité / évolutivité : pouvoir ajouter des briques et des fonctionnalités sans refonte majeure.</w:t>
      </w:r>
      <w:r>
        <w:rPr>
          <w:lang w:val="fr-FR"/>
        </w:rPr>
      </w:r>
    </w:p>
    <w:p w14:paraId="5CED2CAC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3. Options comparées</w:t>
      </w:r>
      <w:r>
        <w:rPr>
          <w:lang w:val="fr-FR"/>
        </w:rPr>
      </w:r>
    </w:p>
    <w:p w14:paraId="11D7B919" w14:textId="77777777">
      <w:pPr>
        <w:pStyle w:val="690"/>
        <w:pBdr/>
        <w:spacing/>
        <w:ind/>
        <w:rPr>
          <w:lang w:val="fr-FR"/>
        </w:rPr>
      </w:pPr>
      <w:r>
        <w:rPr>
          <w:lang w:val="fr-FR"/>
        </w:rPr>
        <w:t xml:space="preserve">3.1 Option A — Monolithe (une seule application)</w:t>
      </w:r>
      <w:r>
        <w:rPr>
          <w:lang w:val="fr-FR"/>
        </w:rPr>
      </w:r>
    </w:p>
    <w:p w14:paraId="1BE4BC2A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Avantages : développement rapide au début, déploiement simple.</w:t>
      </w:r>
      <w:r>
        <w:rPr>
          <w:lang w:val="fr-FR"/>
        </w:rPr>
      </w:r>
    </w:p>
    <w:p w14:paraId="3113670F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Inconvénients : couplage fort, séparation des responsabilités plus difficile, montée en charge moins flexible, risque de “gros bloc” difficile à faire évoluer.</w:t>
      </w:r>
      <w:r>
        <w:rPr>
          <w:lang w:val="fr-FR"/>
        </w:rPr>
      </w:r>
    </w:p>
    <w:p w14:paraId="50656F15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Sécurité : surface d’attaque concentrée, mais risque d’effets de bord (tout dans le même runtime).</w:t>
      </w:r>
      <w:r>
        <w:rPr>
          <w:lang w:val="fr-FR"/>
        </w:rPr>
      </w:r>
    </w:p>
    <w:p w14:paraId="5E636127" w14:textId="77777777">
      <w:pPr>
        <w:pStyle w:val="690"/>
        <w:pBdr/>
        <w:spacing/>
        <w:ind/>
        <w:rPr>
          <w:lang w:val="fr-FR"/>
        </w:rPr>
      </w:pPr>
      <w:r>
        <w:rPr>
          <w:lang w:val="fr-FR"/>
        </w:rPr>
        <w:t xml:space="preserve">3.2 Option B — Microservices (services indépendants)</w:t>
      </w:r>
      <w:r>
        <w:rPr>
          <w:lang w:val="fr-FR"/>
        </w:rPr>
      </w:r>
    </w:p>
    <w:p w14:paraId="2592FDEB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Avantages : scalabilité fine, découpage par domaine, déploiements indépendants.</w:t>
      </w:r>
      <w:r>
        <w:rPr>
          <w:lang w:val="fr-FR"/>
        </w:rPr>
      </w:r>
    </w:p>
    <w:p w14:paraId="1323F7AA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Inconvénients : coût et complexité (orchestration, réseau, observabilité, sécurité inter-services : auth/mTLS, gestion des versions, tests d’intégration plus lourds).</w:t>
      </w:r>
      <w:r>
        <w:rPr>
          <w:lang w:val="fr-FR"/>
        </w:rPr>
      </w:r>
    </w:p>
    <w:p w14:paraId="65E0FFAF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Sécurité : surface d’attaque plus large, besoin d’une gouvernance DevSecOps plus mature.</w:t>
      </w:r>
      <w:r>
        <w:rPr>
          <w:lang w:val="fr-FR"/>
        </w:rPr>
      </w:r>
    </w:p>
    <w:p w14:paraId="03BDCEFE" w14:textId="77777777">
      <w:pPr>
        <w:pStyle w:val="690"/>
        <w:pBdr/>
        <w:spacing/>
        <w:ind/>
        <w:rPr>
          <w:lang w:val="fr-FR"/>
        </w:rPr>
      </w:pPr>
      <w:r>
        <w:rPr>
          <w:lang w:val="fr-FR"/>
        </w:rPr>
        <w:t xml:space="preserve">3.3 Option C — Architecture N-tiers (présentation / logique / données)</w:t>
      </w:r>
      <w:r>
        <w:rPr>
          <w:lang w:val="fr-FR"/>
        </w:rPr>
      </w:r>
    </w:p>
    <w:p w14:paraId="23BAA7C3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Avantages : bon compromis (séparation claire, travail en parallèle possible, testabilité, déploiement maîtrisé, évolutivité progressive).</w:t>
      </w:r>
      <w:r>
        <w:rPr>
          <w:lang w:val="fr-FR"/>
        </w:rPr>
      </w:r>
    </w:p>
    <w:p w14:paraId="4AC2B43D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Inconvénients : discipline nécessaire sur les frontières (contrat API, versioning, validation des entrées).</w:t>
      </w:r>
      <w:r>
        <w:rPr>
          <w:lang w:val="fr-FR"/>
        </w:rPr>
      </w:r>
    </w:p>
    <w:p w14:paraId="2A895E2E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Sécurité : meilleure maîtrise (API comme point d’entrée principal), base de données isolée en réseau interne.</w:t>
      </w:r>
      <w:r>
        <w:rPr>
          <w:lang w:val="fr-FR"/>
        </w:rPr>
      </w:r>
    </w:p>
    <w:p w14:paraId="72EED244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4. Tableau de décision (scoring indicatif 1–5)</w:t>
      </w:r>
      <w:r>
        <w:rPr>
          <w:lang w:val="fr-FR"/>
        </w:rPr>
      </w:r>
    </w:p>
    <w:tbl>
      <w:tblPr>
        <w:tblStyle w:val="75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474"/>
        <w:gridCol w:w="1247"/>
        <w:gridCol w:w="1587"/>
        <w:gridCol w:w="1304"/>
        <w:gridCol w:w="995"/>
      </w:tblGrid>
      <w:tr>
        <w:trPr>
          <w:jc w:val="center"/>
        </w:trPr>
        <w:tc>
          <w:tcPr>
            <w:tcBorders/>
            <w:tcW w:w="2041" w:type="dxa"/>
          </w:tcPr>
          <w:p w14:paraId="4F056673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Architecture</w:t>
            </w:r>
            <w:r/>
          </w:p>
        </w:tc>
        <w:tc>
          <w:tcPr>
            <w:tcBorders/>
            <w:tcW w:w="1134" w:type="dxa"/>
          </w:tcPr>
          <w:p w14:paraId="1D382B69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Vitesse dev</w:t>
            </w:r>
            <w:r/>
          </w:p>
        </w:tc>
        <w:tc>
          <w:tcPr>
            <w:tcBorders/>
            <w:tcW w:w="1474" w:type="dxa"/>
          </w:tcPr>
          <w:p w14:paraId="0EE628A0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Maintenabilité</w:t>
            </w:r>
            <w:r/>
          </w:p>
        </w:tc>
        <w:tc>
          <w:tcPr>
            <w:tcBorders/>
            <w:tcW w:w="1247" w:type="dxa"/>
          </w:tcPr>
          <w:p w14:paraId="2EB12E8F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Scalabilité</w:t>
            </w:r>
            <w:r/>
          </w:p>
        </w:tc>
        <w:tc>
          <w:tcPr>
            <w:tcBorders/>
            <w:tcW w:w="1587" w:type="dxa"/>
          </w:tcPr>
          <w:p w14:paraId="5E53F2C6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Ops (simplicité)</w:t>
            </w:r>
            <w:r/>
          </w:p>
        </w:tc>
        <w:tc>
          <w:tcPr>
            <w:tcBorders/>
            <w:tcW w:w="1304" w:type="dxa"/>
          </w:tcPr>
          <w:p w14:paraId="55957311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Efficience coût</w:t>
            </w:r>
            <w:r/>
          </w:p>
        </w:tc>
        <w:tc>
          <w:tcPr>
            <w:tcBorders/>
            <w:tcW w:w="995" w:type="dxa"/>
          </w:tcPr>
          <w:p w14:paraId="616C248C" w14:textId="77777777">
            <w:pPr>
              <w:pBdr/>
              <w:spacing/>
              <w:ind/>
              <w:rPr/>
            </w:pPr>
            <w:r>
              <w:rPr>
                <w:b/>
              </w:rPr>
              <w:t xml:space="preserve">Sécurité</w:t>
            </w:r>
            <w:r/>
          </w:p>
        </w:tc>
      </w:tr>
      <w:tr>
        <w:trPr>
          <w:jc w:val="center"/>
        </w:trPr>
        <w:tc>
          <w:tcPr>
            <w:tcBorders/>
            <w:tcW w:w="2041" w:type="dxa"/>
          </w:tcPr>
          <w:p w14:paraId="2DE71B5F" w14:textId="77777777">
            <w:pPr>
              <w:pBdr/>
              <w:spacing/>
              <w:ind/>
              <w:rPr/>
            </w:pPr>
            <w:r>
              <w:t xml:space="preserve">Monolithe</w:t>
            </w:r>
            <w:r/>
          </w:p>
        </w:tc>
        <w:tc>
          <w:tcPr>
            <w:tcBorders/>
            <w:tcW w:w="1134" w:type="dxa"/>
          </w:tcPr>
          <w:p w14:paraId="1611D5C5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474" w:type="dxa"/>
          </w:tcPr>
          <w:p w14:paraId="45429A44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247" w:type="dxa"/>
          </w:tcPr>
          <w:p w14:paraId="27250948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587" w:type="dxa"/>
          </w:tcPr>
          <w:p w14:paraId="52E1DC2F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304" w:type="dxa"/>
          </w:tcPr>
          <w:p w14:paraId="3DC8C66C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995" w:type="dxa"/>
          </w:tcPr>
          <w:p w14:paraId="5A7104C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</w:tr>
      <w:tr>
        <w:trPr>
          <w:jc w:val="center"/>
        </w:trPr>
        <w:tc>
          <w:tcPr>
            <w:tcBorders/>
            <w:tcW w:w="2041" w:type="dxa"/>
          </w:tcPr>
          <w:p w14:paraId="497243C8" w14:textId="77777777">
            <w:pPr>
              <w:pBdr/>
              <w:spacing/>
              <w:ind/>
              <w:rPr/>
            </w:pPr>
            <w:r>
              <w:t xml:space="preserve">Microservices</w:t>
            </w:r>
            <w:r/>
          </w:p>
        </w:tc>
        <w:tc>
          <w:tcPr>
            <w:tcBorders/>
            <w:tcW w:w="1134" w:type="dxa"/>
          </w:tcPr>
          <w:p w14:paraId="3F9F3C14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474" w:type="dxa"/>
          </w:tcPr>
          <w:p w14:paraId="5AD09EBC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247" w:type="dxa"/>
          </w:tcPr>
          <w:p w14:paraId="1066797A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587" w:type="dxa"/>
          </w:tcPr>
          <w:p w14:paraId="464EF55E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304" w:type="dxa"/>
          </w:tcPr>
          <w:p w14:paraId="5E27EBE4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995" w:type="dxa"/>
          </w:tcPr>
          <w:p w14:paraId="3C917460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</w:tr>
      <w:tr>
        <w:trPr>
          <w:jc w:val="center"/>
        </w:trPr>
        <w:tc>
          <w:tcPr>
            <w:tcBorders/>
            <w:tcW w:w="2041" w:type="dxa"/>
          </w:tcPr>
          <w:p w14:paraId="7D7C4AC0" w14:textId="77777777">
            <w:pPr>
              <w:pBdr/>
              <w:spacing/>
              <w:ind/>
              <w:rPr/>
            </w:pPr>
            <w:r>
              <w:t xml:space="preserve">N-tiers</w:t>
            </w:r>
            <w:r/>
          </w:p>
        </w:tc>
        <w:tc>
          <w:tcPr>
            <w:tcBorders/>
            <w:tcW w:w="1134" w:type="dxa"/>
          </w:tcPr>
          <w:p w14:paraId="244CA329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474" w:type="dxa"/>
          </w:tcPr>
          <w:p w14:paraId="2B1C15AA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247" w:type="dxa"/>
          </w:tcPr>
          <w:p w14:paraId="6F77F651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587" w:type="dxa"/>
          </w:tcPr>
          <w:p w14:paraId="68318047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304" w:type="dxa"/>
          </w:tcPr>
          <w:p w14:paraId="4E131190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995" w:type="dxa"/>
          </w:tcPr>
          <w:p w14:paraId="4C959F1F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</w:tr>
    </w:tbl>
    <w:p w14:paraId="448415B3" w14:textId="77777777">
      <w:pPr>
        <w:pBdr/>
        <w:spacing/>
        <w:ind/>
        <w:rPr/>
      </w:pPr>
      <w:r/>
      <w:r/>
    </w:p>
    <w:p w14:paraId="1A41561C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Échelle : 5 = très élevée, 4 = élevée, 3 = moyen, 2 = faible, 1 = très faible.</w:t>
      </w:r>
      <w:r>
        <w:rPr>
          <w:lang w:val="fr-FR"/>
        </w:rPr>
      </w:r>
    </w:p>
    <w:p w14:paraId="57914118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Note : “Efficience coût” = capacité à rester dans un coût faible (licences, infra, Ops).</w:t>
      </w:r>
      <w:r>
        <w:rPr>
          <w:lang w:val="fr-FR"/>
        </w:rPr>
      </w:r>
    </w:p>
    <w:p w14:paraId="7A7B1626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5. Décision</w:t>
      </w:r>
      <w:r>
        <w:rPr>
          <w:lang w:val="fr-FR"/>
        </w:rPr>
      </w:r>
    </w:p>
    <w:p w14:paraId="5F0DA73D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Le projet retient une architecture N-tiers :</w:t>
      </w:r>
      <w:r>
        <w:rPr>
          <w:lang w:val="fr-FR"/>
        </w:rPr>
      </w:r>
    </w:p>
    <w:p w14:paraId="29D5BDAE" w14:textId="77777777">
      <w:pPr>
        <w:pStyle w:val="723"/>
        <w:pBdr/>
        <w:spacing/>
        <w:ind/>
        <w:rPr/>
      </w:pPr>
      <w:r>
        <w:t xml:space="preserve">Front (SPA) : couche présentation.</w:t>
      </w:r>
      <w:r/>
    </w:p>
    <w:p w14:paraId="07DA92FB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API (Node/Express — routes / controllers / services) : couche métier.</w:t>
      </w:r>
      <w:r>
        <w:rPr>
          <w:lang w:val="fr-FR"/>
        </w:rPr>
      </w:r>
    </w:p>
    <w:p w14:paraId="674567B2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IA : briques de fonctionnalités IA (service séparé ou module dédié).</w:t>
      </w:r>
      <w:r>
        <w:rPr>
          <w:lang w:val="fr-FR"/>
        </w:rPr>
      </w:r>
    </w:p>
    <w:p w14:paraId="6CA80090" w14:textId="77777777">
      <w:pPr>
        <w:pStyle w:val="723"/>
        <w:pBdr/>
        <w:spacing/>
        <w:ind/>
        <w:rPr/>
      </w:pPr>
      <w:r>
        <w:t xml:space="preserve">PostgreSQL : couche données.</w:t>
      </w:r>
      <w:r/>
    </w:p>
    <w:p w14:paraId="042A798B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Ce choix est cohérent avec l’organisation du dépôt, la stack docker-compose avec reverse-proxy, et l’objectif de garder une exploitation simple tout en restant évolutif.</w:t>
      </w:r>
      <w:r>
        <w:rPr>
          <w:lang w:val="fr-FR"/>
        </w:rPr>
      </w:r>
    </w:p>
    <w:p w14:paraId="6C858C41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6. Mesures de maîtrise (pour rendre le choix solide)</w:t>
      </w:r>
      <w:r>
        <w:rPr>
          <w:lang w:val="fr-FR"/>
        </w:rPr>
      </w:r>
    </w:p>
    <w:p w14:paraId="5A6293BF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Contrat d’API : documentation + conventions (routes, erreurs, validation), versioning si nécessaire.</w:t>
      </w:r>
      <w:r>
        <w:rPr>
          <w:lang w:val="fr-FR"/>
        </w:rPr>
      </w:r>
    </w:p>
    <w:p w14:paraId="12CAE33A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Séparation stricte côté API : controllers / services / models, avec validation des entrées et gestion d’erreurs centralisée.</w:t>
      </w:r>
      <w:r>
        <w:rPr>
          <w:lang w:val="fr-FR"/>
        </w:rPr>
      </w:r>
    </w:p>
    <w:p w14:paraId="0C7BDD93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Sécurité : gestion des secrets (variables d’environnement / coffre), isolation réseau de la base, principes du moindre privilège.</w:t>
      </w:r>
      <w:r>
        <w:rPr>
          <w:lang w:val="fr-FR"/>
        </w:rPr>
      </w:r>
    </w:p>
    <w:p w14:paraId="3F0B74D8" w14:textId="177762AA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Observabilité : logs structurés, métriques minimales, </w:t>
      </w:r>
      <w:r>
        <w:rPr>
          <w:lang w:val="fr-FR"/>
        </w:rPr>
        <w:t xml:space="preserve">alertes</w:t>
      </w:r>
      <w:r>
        <w:rPr>
          <w:lang w:val="fr-FR"/>
        </w:rPr>
        <w:t xml:space="preserve"> sur erreurs et disponibilité</w:t>
      </w:r>
      <w:r>
        <w:rPr>
          <w:lang w:val="fr-FR"/>
        </w:rPr>
        <w:t xml:space="preserve">, tests unitaires</w:t>
      </w:r>
      <w:r>
        <w:rPr>
          <w:lang w:val="fr-FR"/>
        </w:rPr>
        <w:t xml:space="preserve">.</w:t>
      </w:r>
      <w:r>
        <w:rPr>
          <w:lang w:val="fr-FR"/>
        </w:rPr>
      </w:r>
    </w:p>
    <w:p w14:paraId="358E5ACF" w14:textId="77777777">
      <w:pPr>
        <w:pStyle w:val="689"/>
        <w:pBdr/>
        <w:spacing/>
        <w:ind/>
        <w:rPr>
          <w:lang w:val="fr-FR"/>
        </w:rPr>
      </w:pPr>
      <w:r>
        <w:rPr>
          <w:lang w:val="fr-FR"/>
        </w:rPr>
        <w:t xml:space="preserve">7. Hypothèses et points à valider</w:t>
      </w:r>
      <w:r>
        <w:rPr>
          <w:lang w:val="fr-FR"/>
        </w:rPr>
      </w:r>
    </w:p>
    <w:p w14:paraId="313E96F5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Le besoin principal est couvert par un MVP livré rapidement (time-to-market prioritaire).</w:t>
      </w:r>
      <w:r>
        <w:rPr>
          <w:lang w:val="fr-FR"/>
        </w:rPr>
      </w:r>
    </w:p>
    <w:p w14:paraId="49321416" w14:textId="77777777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Le volume utilisateur initial permet une architecture simple (docker-compose) avant éventuelle montée en charge.</w:t>
      </w:r>
      <w:r>
        <w:rPr>
          <w:lang w:val="fr-FR"/>
        </w:rPr>
      </w:r>
    </w:p>
    <w:p w14:paraId="1E609E6D" w14:textId="129AB1BF">
      <w:pPr>
        <w:pStyle w:val="723"/>
        <w:pBdr/>
        <w:spacing/>
        <w:ind/>
        <w:rPr>
          <w:lang w:val="fr-FR"/>
        </w:rPr>
      </w:pPr>
      <w:r>
        <w:rPr>
          <w:lang w:val="fr-FR"/>
        </w:rPr>
        <w:t xml:space="preserve">Les fonctionnalités IA peuvent rester isolées derrière une interface stable (API interne / file de jobs) si elles évoluent.</w:t>
      </w:r>
      <w:r>
        <w:rPr>
          <w:lang w:val="fr-FR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8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8"/>
    <w:link w:val="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8"/>
    <w:link w:val="7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8"/>
    <w:link w:val="7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698"/>
    <w:link w:val="701"/>
    <w:uiPriority w:val="99"/>
    <w:pPr>
      <w:pBdr/>
      <w:spacing/>
      <w:ind/>
    </w:pPr>
  </w:style>
  <w:style w:type="character" w:styleId="179">
    <w:name w:val="Footer Char"/>
    <w:basedOn w:val="698"/>
    <w:link w:val="703"/>
    <w:uiPriority w:val="99"/>
    <w:pPr>
      <w:pBdr/>
      <w:spacing/>
      <w:ind/>
    </w:p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</w:r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En-tête C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Pied de page C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Titre 1 C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Titre 2 C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Titre 3 C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re C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ous-titre C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Corps de texte C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Corps de texte 2 C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Corps de texte 3 C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Texte de macro C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Citation C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Titre 4 C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Titre 5 C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Titre 6 C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Titre 7 C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Titre 8 C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Titre 9 C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Citation intense C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 Macabiau</cp:lastModifiedBy>
  <cp:revision>9</cp:revision>
  <dcterms:created xsi:type="dcterms:W3CDTF">2013-12-23T23:15:00Z</dcterms:created>
  <dcterms:modified xsi:type="dcterms:W3CDTF">2026-04-10T08:47:48Z</dcterms:modified>
  <cp:category/>
</cp:coreProperties>
</file>