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8"/>
        <w:pBdr/>
        <w:spacing/>
        <w:ind/>
        <w:jc w:val="center"/>
        <w:rPr>
          <w:lang w:val="fr-FR"/>
        </w:rPr>
      </w:pPr>
      <w:r>
        <w:rPr>
          <w:lang w:val="fr-FR"/>
        </w:rPr>
        <w:t xml:space="preserve">Veille technologique – Template</w:t>
      </w:r>
      <w:r>
        <w:rPr>
          <w:lang w:val="fr-FR"/>
        </w:rPr>
      </w:r>
      <w:r>
        <w:rPr>
          <w:lang w:val="fr-FR"/>
        </w:rPr>
      </w:r>
    </w:p>
    <w:p>
      <w:pPr>
        <w:pBdr/>
        <w:spacing w:after="280" w:before="0" w:line="276" w:lineRule="auto"/>
        <w:ind/>
        <w:jc w:val="center"/>
        <w:rPr>
          <w:lang w:val="fr-FR"/>
        </w:rPr>
      </w:pPr>
      <w:r>
        <w:rPr>
          <w:lang w:val="fr-FR"/>
        </w:rPr>
        <w:t xml:space="preserve">Projet : MyMemoMaster</w:t>
        <w:br/>
        <w:t xml:space="preserve">Version : V1</w:t>
      </w:r>
      <w:r>
        <w:rPr>
          <w:lang w:val="fr-FR"/>
        </w:rPr>
      </w:r>
      <w:r>
        <w:rPr>
          <w:lang w:val="fr-FR"/>
        </w:rPr>
      </w:r>
    </w:p>
    <w:p>
      <w:pPr>
        <w:pBdr/>
        <w:spacing w:after="280" w:before="0" w:line="276" w:lineRule="auto"/>
        <w:ind/>
        <w:rPr>
          <w:rFonts w:ascii="Arial" w:hAnsi="Arial" w:cs="Arial"/>
          <w:b/>
          <w:bCs/>
          <w:sz w:val="24"/>
          <w:szCs w:val="24"/>
          <w:lang w:val="fr-FR"/>
        </w:rPr>
      </w:pPr>
      <w:r>
        <w:rPr>
          <w:b/>
          <w:lang w:val="fr-FR"/>
        </w:rPr>
        <w:t xml:space="preserve">Auteur : Macabiau Frederic</w:t>
      </w:r>
      <w:r>
        <w:rPr>
          <w:lang w:val="fr-FR"/>
        </w:rPr>
        <w:br/>
      </w:r>
      <w:r>
        <w:rPr>
          <w:b/>
          <w:lang w:val="fr-FR"/>
        </w:rPr>
        <w:t xml:space="preserve">Période couverte : </w:t>
      </w:r>
      <w:r>
        <w:rPr>
          <w:lang w:val="fr-FR"/>
        </w:rPr>
        <w:t xml:space="preserve">[15/02/2026] → [JJ/MM/AAAA]</w:t>
        <w:br/>
      </w:r>
      <w:r>
        <w:rPr>
          <w:b/>
          <w:lang w:val="fr-FR"/>
        </w:rPr>
        <w:t xml:space="preserve">Objectif : </w:t>
        <w:br/>
      </w:r>
      <w:r>
        <w:rPr>
          <w:rFonts w:ascii="Arial" w:hAnsi="Arial" w:eastAsia="Arial" w:cs="Arial"/>
          <w:sz w:val="24"/>
          <w:szCs w:val="24"/>
          <w:lang w:val="fr-FR"/>
        </w:rPr>
        <w:t xml:space="preserve">Sécuriser et fiabiliser les choix techniques de MyMemoMaster (Vues JS, express, postgres, traefik, docker, IA) en s’appuyant sur des sources officielles (OWASP, W3C, docs éditeurs) afin de :</w:t>
      </w:r>
      <w:r>
        <w:rPr>
          <w:rFonts w:ascii="Arial" w:hAnsi="Arial" w:cs="Arial"/>
          <w:b/>
          <w:bCs/>
          <w:sz w:val="24"/>
          <w:szCs w:val="24"/>
          <w:lang w:val="fr-FR"/>
        </w:rPr>
      </w:r>
      <w:r>
        <w:rPr>
          <w:rFonts w:ascii="Arial" w:hAnsi="Arial" w:cs="Arial"/>
          <w:b/>
          <w:bCs/>
          <w:sz w:val="24"/>
          <w:szCs w:val="24"/>
          <w:lang w:val="fr-FR"/>
        </w:rPr>
      </w:r>
    </w:p>
    <w:p w14:paraId="64C3CE39">
      <w:pPr>
        <w:pStyle w:val="90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  <w:lang w:val="fr-FR"/>
        </w:rPr>
      </w:pPr>
      <w:r>
        <w:rPr>
          <w:rFonts w:ascii="Arial" w:hAnsi="Arial" w:eastAsia="Arial" w:cs="Arial"/>
          <w:sz w:val="24"/>
          <w:szCs w:val="24"/>
          <w:lang w:val="fr-FR"/>
        </w:rPr>
        <w:t xml:space="preserve">réduire les risques (sécurité, coûts IA, perte de données, perf),</w:t>
      </w:r>
      <w:r>
        <w:rPr>
          <w:rFonts w:ascii="Arial" w:hAnsi="Arial" w:cs="Arial"/>
          <w:szCs w:val="24"/>
          <w:lang w:val="fr-FR"/>
        </w:rPr>
      </w:r>
      <w:r>
        <w:rPr>
          <w:rFonts w:ascii="Arial" w:hAnsi="Arial" w:cs="Arial"/>
          <w:szCs w:val="24"/>
          <w:lang w:val="fr-FR"/>
        </w:rPr>
      </w:r>
    </w:p>
    <w:p w14:paraId="35B3753C">
      <w:pPr>
        <w:pStyle w:val="90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  <w:lang w:val="fr-FR"/>
        </w:rPr>
      </w:pPr>
      <w:r>
        <w:rPr>
          <w:rFonts w:ascii="Arial" w:hAnsi="Arial" w:eastAsia="Arial" w:cs="Arial"/>
          <w:sz w:val="24"/>
          <w:szCs w:val="24"/>
          <w:lang w:val="fr-FR"/>
        </w:rPr>
        <w:t xml:space="preserve">améliorer l’exploitabilité (TLS, monitoring, logs),</w:t>
      </w:r>
      <w:r>
        <w:rPr>
          <w:rFonts w:ascii="Arial" w:hAnsi="Arial" w:cs="Arial"/>
          <w:szCs w:val="24"/>
          <w:lang w:val="fr-FR"/>
        </w:rPr>
      </w:r>
      <w:r>
        <w:rPr>
          <w:rFonts w:ascii="Arial" w:hAnsi="Arial" w:cs="Arial"/>
          <w:szCs w:val="24"/>
          <w:lang w:val="fr-FR"/>
        </w:rPr>
      </w:r>
    </w:p>
    <w:p w14:paraId="792C69F6">
      <w:pPr>
        <w:pStyle w:val="90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  <w:lang w:val="fr-FR"/>
        </w:rPr>
      </w:pPr>
      <w:r>
        <w:rPr>
          <w:rFonts w:ascii="Arial" w:hAnsi="Arial" w:eastAsia="Arial" w:cs="Arial"/>
          <w:sz w:val="24"/>
          <w:szCs w:val="24"/>
          <w:lang w:val="fr-FR"/>
        </w:rPr>
        <w:t xml:space="preserve">garantir une base de qualité (accessibilité, bonnes pratiques front/back).</w:t>
      </w:r>
      <w:r>
        <w:rPr>
          <w:lang w:val="fr-FR"/>
        </w:rPr>
        <w:br w:type="page" w:clear="all"/>
      </w:r>
      <w:r>
        <w:rPr>
          <w:rFonts w:ascii="Arial" w:hAnsi="Arial" w:cs="Arial"/>
          <w:szCs w:val="24"/>
          <w:lang w:val="fr-FR"/>
        </w:rPr>
      </w:r>
      <w:r>
        <w:rPr>
          <w:rFonts w:ascii="Arial" w:hAnsi="Arial" w:cs="Arial"/>
          <w:szCs w:val="24"/>
          <w:lang w:val="fr-FR"/>
        </w:rPr>
      </w:r>
    </w:p>
    <w:p>
      <w:pPr>
        <w:pStyle w:val="882"/>
        <w:pBdr/>
        <w:spacing/>
        <w:ind/>
        <w:rPr>
          <w:lang w:val="fr-FR"/>
        </w:rPr>
      </w:pPr>
      <w:r>
        <w:rPr>
          <w:lang w:val="fr-FR"/>
        </w:rPr>
        <w:t xml:space="preserve">1. Périmètre de la veille</w:t>
      </w:r>
      <w:r>
        <w:rPr>
          <w:lang w:val="fr-FR"/>
        </w:rPr>
      </w:r>
      <w:r>
        <w:rPr>
          <w:lang w:val="fr-FR"/>
        </w:rPr>
      </w:r>
    </w:p>
    <w:p>
      <w:pPr>
        <w:pBdr/>
        <w:spacing w:after="200" w:before="0" w:line="276" w:lineRule="auto"/>
        <w:ind/>
        <w:rPr>
          <w:b/>
          <w:bCs/>
          <w:lang w:val="fr-FR"/>
        </w:rPr>
      </w:pPr>
      <w:r>
        <w:rPr>
          <w:b/>
          <w:lang w:val="fr-FR"/>
        </w:rPr>
        <w:t xml:space="preserve">Thèmes inclus :  </w:t>
        <w:br/>
      </w:r>
      <w:r>
        <w:rPr>
          <w:b w:val="0"/>
          <w:bCs w:val="0"/>
          <w:lang w:val="fr-FR"/>
        </w:rPr>
        <w:t xml:space="preserve">La sécuritée applicative (API + front + BDD), dans tout ce qui concerne l’authentification, les droits d’accès, les données personnelles et l’infra/devops</w:t>
      </w:r>
      <w:r>
        <w:rPr>
          <w:b/>
          <w:bCs/>
          <w:lang w:val="fr-FR"/>
        </w:rPr>
      </w:r>
      <w:r>
        <w:rPr>
          <w:b/>
          <w:bCs/>
          <w:lang w:val="fr-FR"/>
        </w:rPr>
      </w:r>
    </w:p>
    <w:p w14:paraId="25293B1E">
      <w:pPr>
        <w:pBdr/>
        <w:spacing w:after="200" w:before="0" w:line="276" w:lineRule="auto"/>
        <w:ind/>
        <w:rPr>
          <w:b w:val="0"/>
          <w:bCs w:val="0"/>
          <w:lang w:val="fr-FR"/>
        </w:rPr>
      </w:pPr>
      <w:r>
        <w:rPr>
          <w:b/>
          <w:lang w:val="fr-FR"/>
        </w:rPr>
        <w:t xml:space="preserve">Thèmes exclus : </w:t>
      </w:r>
      <w:r>
        <w:rPr>
          <w:lang w:val="fr-FR"/>
        </w:rPr>
        <w:t xml:space="preserve">[</w:t>
        <w:br/>
      </w:r>
      <w:r>
        <w:rPr>
          <w:b w:val="0"/>
          <w:bCs w:val="0"/>
          <w:lang w:val="fr-FR"/>
        </w:rPr>
        <w:t xml:space="preserve">UX/UI design, modèle économique, sujets pédagogiques non tech.</w:t>
      </w:r>
      <w:r>
        <w:rPr>
          <w:b w:val="0"/>
          <w:bCs w:val="0"/>
          <w:lang w:val="fr-FR"/>
        </w:rPr>
      </w:r>
      <w:r>
        <w:rPr>
          <w:b w:val="0"/>
          <w:bCs w:val="0"/>
          <w:lang w:val="fr-FR"/>
        </w:rPr>
      </w:r>
    </w:p>
    <w:p w14:paraId="4AA74956">
      <w:pPr>
        <w:pBdr/>
        <w:spacing w:after="200" w:before="0" w:line="276" w:lineRule="auto"/>
        <w:ind/>
        <w:rPr>
          <w:highlight w:val="none"/>
          <w:lang w:val="fr-FR"/>
        </w:rPr>
      </w:pPr>
      <w:r>
        <w:rPr>
          <w:b/>
          <w:lang w:val="fr-FR"/>
        </w:rPr>
        <w:t xml:space="preserve">Contexte projet :</w:t>
      </w:r>
      <w:r>
        <w:rPr>
          <w:lang w:val="fr-FR"/>
        </w:rPr>
        <w:br/>
      </w:r>
      <w:r>
        <w:rPr>
          <w:lang w:val="fr-FR"/>
        </w:rPr>
        <w:tab/>
        <w:t xml:space="preserve">MyMemoMaster est une application web de révision et de suivi étudiant (systèmes de Leitner, éditeur de cartes mentales, planning…). L’application à une architecture en 4 tiers avec :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0E0F4CD0">
      <w:pPr>
        <w:pStyle w:val="902"/>
        <w:numPr>
          <w:ilvl w:val="0"/>
          <w:numId w:val="11"/>
        </w:numPr>
        <w:pBdr/>
        <w:spacing w:after="200" w:before="0" w:line="276" w:lineRule="auto"/>
        <w:ind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Une SPA en Vue Js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27F06885">
      <w:pPr>
        <w:pStyle w:val="902"/>
        <w:numPr>
          <w:ilvl w:val="0"/>
          <w:numId w:val="11"/>
        </w:numPr>
        <w:pBdr/>
        <w:spacing w:after="200" w:before="0" w:line="276" w:lineRule="auto"/>
        <w:ind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Une api express Node JS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1F34FB6E">
      <w:pPr>
        <w:pStyle w:val="902"/>
        <w:numPr>
          <w:ilvl w:val="0"/>
          <w:numId w:val="11"/>
        </w:numPr>
        <w:pBdr/>
        <w:spacing w:after="200" w:before="0" w:line="276" w:lineRule="auto"/>
        <w:ind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Des API IA (une api interne et des api externes)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3148384D">
      <w:pPr>
        <w:pStyle w:val="902"/>
        <w:numPr>
          <w:ilvl w:val="0"/>
          <w:numId w:val="11"/>
        </w:numPr>
        <w:pBdr/>
        <w:spacing w:after="200" w:before="0" w:line="276" w:lineRule="auto"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Une BDD postgres SQL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0ABAF4ED">
      <w:pPr>
        <w:pBdr/>
        <w:spacing w:after="200" w:before="0" w:line="276" w:lineRule="auto"/>
        <w:ind w:firstLine="0" w:left="0"/>
        <w:rPr>
          <w:lang w:val="fr-FR"/>
        </w:rPr>
      </w:pPr>
      <w:r>
        <w:rPr>
          <w:highlight w:val="none"/>
          <w:lang w:val="fr-FR" w:bidi="fr-FR"/>
        </w:rPr>
      </w:r>
      <w:r>
        <w:rPr>
          <w:lang w:val="fr-FR"/>
        </w:rPr>
        <w:t xml:space="preserve">L’application dispose d’un reverse-proxy (Traefik)</w:t>
      </w:r>
      <w:r>
        <w:rPr>
          <w:lang w:val="fr-FR"/>
        </w:rPr>
        <w:t xml:space="preserve">).</w:t>
      </w:r>
      <w:r>
        <w:rPr>
          <w:lang w:val="fr-FR"/>
        </w:rPr>
      </w:r>
      <w:r>
        <w:rPr>
          <w:lang w:val="fr-FR"/>
        </w:rPr>
      </w:r>
    </w:p>
    <w:p w14:paraId="1B5A2216">
      <w:pPr>
        <w:pBdr/>
        <w:spacing w:after="200" w:before="0" w:line="276" w:lineRule="auto"/>
        <w:ind w:firstLine="0" w:left="0"/>
        <w:rPr>
          <w:highlight w:val="none"/>
          <w:lang w:val="fr-FR"/>
        </w:rPr>
      </w:pPr>
      <w:r>
        <w:rPr>
          <w:lang w:val="fr-FR"/>
        </w:rPr>
        <w:t xml:space="preserve">Enjeux : MVP livrable vite, équipe junior/dispo limitée, b</w:t>
      </w:r>
      <w:r>
        <w:rPr>
          <w:lang w:val="fr-FR"/>
        </w:rPr>
        <w:t xml:space="preserve">udget infra modéré, maîtrise des coûts IA (quotas/caching), sécurité (auth/RBAC/anti-abus), qualité (tests), accessibilité (WCAG).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Style w:val="882"/>
        <w:pBdr/>
        <w:spacing/>
        <w:ind/>
        <w:rPr>
          <w:lang w:val="fr-FR"/>
        </w:rPr>
      </w:pPr>
      <w:r>
        <w:rPr>
          <w:lang w:val="fr-FR"/>
        </w:rPr>
        <w:t xml:space="preserve">2. Méthode &amp; critères de sélection des sources</w:t>
      </w:r>
      <w:r>
        <w:rPr>
          <w:lang w:val="fr-FR"/>
        </w:rPr>
      </w:r>
      <w:r>
        <w:rPr>
          <w:lang w:val="fr-FR"/>
        </w:rPr>
      </w:r>
    </w:p>
    <w:p>
      <w:pPr>
        <w:pStyle w:val="912"/>
        <w:pBdr/>
        <w:spacing w:after="40" w:before="0" w:line="276" w:lineRule="auto"/>
        <w:ind/>
        <w:rPr>
          <w:lang w:val="fr-FR"/>
        </w:rPr>
      </w:pPr>
      <w:r>
        <w:rPr>
          <w:lang w:val="fr-FR"/>
        </w:rPr>
        <w:t xml:space="preserve">Sources prioritaires : documentation officielle, standards (OWASP, W3C), articles techniques de référence, éditeurs reconnus.</w:t>
      </w:r>
      <w:r>
        <w:rPr>
          <w:lang w:val="fr-FR"/>
        </w:rPr>
      </w:r>
      <w:r>
        <w:rPr>
          <w:lang w:val="fr-FR"/>
        </w:rPr>
      </w:r>
    </w:p>
    <w:p>
      <w:pPr>
        <w:pStyle w:val="912"/>
        <w:pBdr/>
        <w:spacing w:after="40" w:before="0" w:line="276" w:lineRule="auto"/>
        <w:ind/>
        <w:rPr>
          <w:lang w:val="fr-FR"/>
        </w:rPr>
      </w:pPr>
      <w:r>
        <w:rPr>
          <w:lang w:val="fr-FR"/>
        </w:rPr>
        <w:t xml:space="preserve">Pour chaque source : noter la date de consultation, le lien et le passage clé (résumé, sans copier-coller long).</w:t>
      </w:r>
      <w:r>
        <w:rPr>
          <w:lang w:val="fr-FR"/>
        </w:rPr>
      </w:r>
      <w:r>
        <w:rPr>
          <w:lang w:val="fr-FR"/>
        </w:rPr>
      </w:r>
    </w:p>
    <w:p>
      <w:pPr>
        <w:pStyle w:val="912"/>
        <w:pBdr/>
        <w:spacing w:after="40" w:before="0" w:line="276" w:lineRule="auto"/>
        <w:ind/>
        <w:rPr>
          <w:lang w:val="fr-FR"/>
        </w:rPr>
      </w:pPr>
      <w:r>
        <w:rPr>
          <w:lang w:val="fr-FR"/>
        </w:rPr>
        <w:t xml:space="preserve">Critères : pertinence pour le MVP, impact sécurité/coût/délais, maturité de la solution, compatibilité avec l’architecture retenue.</w:t>
      </w:r>
      <w:r>
        <w:rPr>
          <w:lang w:val="fr-FR"/>
        </w:rPr>
      </w:r>
      <w:r>
        <w:rPr>
          <w:lang w:val="fr-FR"/>
        </w:rPr>
      </w:r>
    </w:p>
    <w:p>
      <w:pPr>
        <w:pBdr/>
        <w:spacing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  <w:r>
        <w:rPr>
          <w:lang w:val="fr-FR"/>
        </w:rPr>
      </w:r>
    </w:p>
    <w:p>
      <w:pPr>
        <w:pStyle w:val="882"/>
        <w:pBdr/>
        <w:spacing/>
        <w:ind/>
        <w:rPr>
          <w:lang w:val="fr-FR"/>
        </w:rPr>
      </w:pPr>
      <w:r>
        <w:rPr>
          <w:lang w:val="fr-FR"/>
        </w:rPr>
        <w:t xml:space="preserve">3. Journal de veille (entrées)</w:t>
      </w:r>
      <w:r>
        <w:rPr>
          <w:lang w:val="fr-FR"/>
        </w:rPr>
      </w:r>
      <w:r>
        <w:rPr>
          <w:lang w:val="fr-FR"/>
        </w:rPr>
      </w:r>
    </w:p>
    <w:tbl>
      <w:tblPr>
        <w:tblStyle w:val="942"/>
        <w:jc w:val="center"/>
        <w:tblInd w:w="-317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678"/>
        <w:gridCol w:w="1119"/>
        <w:gridCol w:w="958"/>
        <w:gridCol w:w="5761"/>
        <w:gridCol w:w="557"/>
        <w:gridCol w:w="1841"/>
        <w:gridCol w:w="1313"/>
        <w:gridCol w:w="1601"/>
        <w:gridCol w:w="1128"/>
      </w:tblGrid>
      <w:tr>
        <w:trPr>
          <w:tblHeader/>
        </w:trPr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67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b/>
                <w:sz w:val="18"/>
                <w:lang w:val="fr-FR"/>
              </w:rPr>
              <w:t xml:space="preserve">ID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1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b/>
                <w:sz w:val="18"/>
                <w:lang w:val="fr-FR"/>
              </w:rPr>
              <w:t xml:space="preserve">Sujet / question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9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b/>
                <w:sz w:val="18"/>
                <w:lang w:val="fr-FR"/>
              </w:rPr>
              <w:t xml:space="preserve">Catégorie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76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b/>
                <w:sz w:val="18"/>
                <w:lang w:val="fr-FR"/>
              </w:rPr>
              <w:t xml:space="preserve">Source (lien)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55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b/>
                <w:sz w:val="18"/>
                <w:lang w:val="fr-FR"/>
              </w:rPr>
              <w:t xml:space="preserve">Date consult.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84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b/>
                <w:sz w:val="18"/>
                <w:lang w:val="fr-FR"/>
              </w:rPr>
              <w:t xml:space="preserve">Synthèse (2–3 lignes)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31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b/>
                <w:sz w:val="18"/>
                <w:lang w:val="fr-FR"/>
              </w:rPr>
              <w:t xml:space="preserve">Risques / contraintes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6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b/>
                <w:sz w:val="18"/>
                <w:lang w:val="fr-FR"/>
              </w:rPr>
              <w:t xml:space="preserve">Impact / décision projet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Mar>
              <w:left w:w="80" w:type="dxa"/>
              <w:top w:w="70" w:type="dxa"/>
              <w:right w:w="80" w:type="dxa"/>
              <w:bottom w:w="70" w:type="dxa"/>
            </w:tcMar>
            <w:tcW w:w="11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b/>
                <w:sz w:val="18"/>
                <w:lang w:val="fr-FR"/>
              </w:rPr>
              <w:t xml:space="preserve">Preuve / annexe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  <w:tr>
        <w:trPr/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678" w:type="dxa"/>
            <w:vAlign w:val="top"/>
            <w:textDirection w:val="lrTb"/>
            <w:noWrap w:val="false"/>
          </w:tcPr>
          <w:p w14:paraId="08AA32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VT-01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19" w:type="dxa"/>
            <w:vAlign w:val="top"/>
            <w:textDirection w:val="lrTb"/>
            <w:noWrap w:val="false"/>
          </w:tcPr>
          <w:p w14:paraId="6F47D4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Sécuriser l’API (OWASP API Security Top 10) : BOLA, auth, limites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958" w:type="dxa"/>
            <w:vAlign w:val="top"/>
            <w:textDirection w:val="lrTb"/>
            <w:noWrap w:val="false"/>
          </w:tcPr>
          <w:p w14:paraId="0F5C42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Sécurité / Back / API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761" w:type="dxa"/>
            <w:vAlign w:val="top"/>
            <w:textDirection w:val="lrTb"/>
            <w:noWrap w:val="false"/>
          </w:tcPr>
          <w:p w14:paraId="00AF30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https://owasp.org/API-Security/editions/2023/en/0x11-t10/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57" w:type="dxa"/>
            <w:vAlign w:val="top"/>
            <w:textDirection w:val="lrTb"/>
            <w:noWrap w:val="false"/>
          </w:tcPr>
          <w:p w14:paraId="6DE805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15/02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841" w:type="dxa"/>
            <w:vAlign w:val="top"/>
            <w:textDirection w:val="lrTb"/>
            <w:noWrap w:val="false"/>
          </w:tcPr>
          <w:p w14:paraId="12DCE1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Risques API majeurs : BOLA (autorisation au niveau objet), auth insuffisante, consommation non restreinte. Prioriser contrôles d’accès, validation, limites et monitoring.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313" w:type="dxa"/>
            <w:vAlign w:val="top"/>
            <w:textDirection w:val="lrTb"/>
            <w:noWrap w:val="false"/>
          </w:tcPr>
          <w:p w14:paraId="5275A1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Endpoints CRUD avec IDs ; fuite/altération données si ownership non vérifié ; appels IA coûteux.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601" w:type="dxa"/>
            <w:vAlign w:val="top"/>
            <w:textDirection w:val="lrTb"/>
            <w:noWrap w:val="false"/>
          </w:tcPr>
          <w:p w14:paraId="1E1D8C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RBAC + contrôle ownership ; pagination/limites ; tests sécurité API.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28" w:type="dxa"/>
            <w:vAlign w:val="top"/>
            <w:textDirection w:val="lrTb"/>
            <w:noWrap w:val="false"/>
          </w:tcPr>
          <w:p w14:paraId="1EF8CE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Checklist sécurité API + backlog ; ADR sécurité (à créer).</w:t>
            </w:r>
            <w:r/>
          </w:p>
        </w:tc>
      </w:tr>
      <w:tr>
        <w:trPr/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678" w:type="dxa"/>
            <w:vAlign w:val="top"/>
            <w:textDirection w:val="lrTb"/>
            <w:noWrap w:val="false"/>
          </w:tcPr>
          <w:p w14:paraId="7B321F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VT-02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19" w:type="dxa"/>
            <w:vAlign w:val="top"/>
            <w:textDirection w:val="lrTb"/>
            <w:noWrap w:val="false"/>
          </w:tcPr>
          <w:p w14:paraId="2C3763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Stockage mots de passe (hash)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958" w:type="dxa"/>
            <w:vAlign w:val="top"/>
            <w:textDirection w:val="lrTb"/>
            <w:noWrap w:val="false"/>
          </w:tcPr>
          <w:p w14:paraId="4BCA8E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Sécurité / Auth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761" w:type="dxa"/>
            <w:vAlign w:val="top"/>
            <w:textDirection w:val="lrTb"/>
            <w:noWrap w:val="false"/>
          </w:tcPr>
          <w:p w14:paraId="7E6F4F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https://cheatsheetseries.owasp.org/cheatsheets/Password_Storage_Cheat_Sheet.html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57" w:type="dxa"/>
            <w:vAlign w:val="top"/>
            <w:textDirection w:val="lrTb"/>
            <w:noWrap w:val="false"/>
          </w:tcPr>
          <w:p w14:paraId="0EEA8E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15/02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841" w:type="dxa"/>
            <w:vAlign w:val="top"/>
            <w:textDirection w:val="lrTb"/>
            <w:noWrap w:val="false"/>
          </w:tcPr>
          <w:p w14:paraId="090506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Mots de passes hachés via bcrypt, salage, paramètres robustes. Ne jamais stocker de mots de passe en clair.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313" w:type="dxa"/>
            <w:vAlign w:val="top"/>
            <w:textDirection w:val="lrTb"/>
            <w:noWrap w:val="false"/>
          </w:tcPr>
          <w:p w14:paraId="5E52EB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Compromission BDD ; brute force sur hashes ; reset de mot de passe ciblé.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601" w:type="dxa"/>
            <w:vAlign w:val="top"/>
            <w:textDirection w:val="lrTb"/>
            <w:noWrap w:val="false"/>
          </w:tcPr>
          <w:p w14:paraId="74FD6D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Bcrypt; tokens reset hashés ; policy mdp + verrouillage tentatives.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28" w:type="dxa"/>
            <w:vAlign w:val="top"/>
            <w:textDirection w:val="lrTb"/>
            <w:noWrap w:val="false"/>
          </w:tcPr>
          <w:p w14:paraId="06D694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Implémentation auth + tests ; doc sécurité.</w:t>
            </w:r>
            <w:r/>
          </w:p>
        </w:tc>
      </w:tr>
      <w:tr>
        <w:trPr/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678" w:type="dxa"/>
            <w:vAlign w:val="top"/>
            <w:textDirection w:val="lrTb"/>
            <w:noWrap w:val="false"/>
          </w:tcPr>
          <w:p w14:paraId="59226B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VT-03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19" w:type="dxa"/>
            <w:vAlign w:val="top"/>
            <w:textDirection w:val="lrTb"/>
            <w:noWrap w:val="false"/>
          </w:tcPr>
          <w:p w14:paraId="1D06E5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JWT / sessions : durée, audience, stockage sécurisé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958" w:type="dxa"/>
            <w:vAlign w:val="top"/>
            <w:textDirection w:val="lrTb"/>
            <w:noWrap w:val="false"/>
          </w:tcPr>
          <w:p w14:paraId="6E52CD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Sécurité / Auth / API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761" w:type="dxa"/>
            <w:vAlign w:val="top"/>
            <w:textDirection w:val="lrTb"/>
            <w:noWrap w:val="false"/>
          </w:tcPr>
          <w:p w14:paraId="68073C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https://owasp.org/www-project-web-security-testing-guide/latest/4-Web_Application_Security_Testing/06-Session_Management_Testing/10-Testing_JSON_Web_Tokens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57" w:type="dxa"/>
            <w:vAlign w:val="top"/>
            <w:textDirection w:val="lrTb"/>
            <w:noWrap w:val="false"/>
          </w:tcPr>
          <w:p w14:paraId="7391D8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15/02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841" w:type="dxa"/>
            <w:vAlign w:val="top"/>
            <w:textDirection w:val="lrTb"/>
            <w:noWrap w:val="false"/>
          </w:tcPr>
          <w:p w14:paraId="5E548D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Contrôles JWT : algorithme, signature, exp/nbf, audience/issuer. Limiter durée et éviter données sensibles dans le token.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313" w:type="dxa"/>
            <w:vAlign w:val="top"/>
            <w:textDirection w:val="lrTb"/>
            <w:noWrap w:val="false"/>
          </w:tcPr>
          <w:p w14:paraId="229076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Vol de token (XSS) si localStorage ; refresh token mal géré ; usurpation.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601" w:type="dxa"/>
            <w:vAlign w:val="top"/>
            <w:textDirection w:val="lrTb"/>
            <w:noWrap w:val="false"/>
          </w:tcPr>
          <w:p w14:paraId="67DE9C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Access token court + refresh rotation ; cookie httpOnly Secure SameSite ; validation stricte des claims.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28" w:type="dxa"/>
            <w:vAlign w:val="top"/>
            <w:textDirection w:val="lrTb"/>
            <w:noWrap w:val="false"/>
          </w:tcPr>
          <w:p w14:paraId="78CC7E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ADR auth ; tests middleware JWT.</w:t>
            </w:r>
            <w:r/>
          </w:p>
        </w:tc>
      </w:tr>
      <w:tr>
        <w:trPr/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678" w:type="dxa"/>
            <w:vAlign w:val="top"/>
            <w:textDirection w:val="lrTb"/>
            <w:noWrap w:val="false"/>
          </w:tcPr>
          <w:p w14:paraId="424C16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VT-04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19" w:type="dxa"/>
            <w:vAlign w:val="top"/>
            <w:textDirection w:val="lrTb"/>
            <w:noWrap w:val="false"/>
          </w:tcPr>
          <w:p w14:paraId="058F34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HTTPS/TLS et certificats automatiques (Traefik + ACME)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958" w:type="dxa"/>
            <w:vAlign w:val="top"/>
            <w:textDirection w:val="lrTb"/>
            <w:noWrap w:val="false"/>
          </w:tcPr>
          <w:p w14:paraId="1C8053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DevOps / Sécurité / Infra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761" w:type="dxa"/>
            <w:vAlign w:val="top"/>
            <w:textDirection w:val="lrTb"/>
            <w:noWrap w:val="false"/>
          </w:tcPr>
          <w:p w14:paraId="374F9E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https://doc.traefik.io/traefik/https/acme/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57" w:type="dxa"/>
            <w:vAlign w:val="top"/>
            <w:textDirection w:val="lrTb"/>
            <w:noWrap w:val="false"/>
          </w:tcPr>
          <w:p w14:paraId="589491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15/02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841" w:type="dxa"/>
            <w:vAlign w:val="top"/>
            <w:textDirection w:val="lrTb"/>
            <w:noWrap w:val="false"/>
          </w:tcPr>
          <w:p w14:paraId="5AD707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Traefik gère l’obtention/renouvellement Let’s Encrypt (ACME). Configurer HTTP→HTTPS et sécuriser le dashboard.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313" w:type="dxa"/>
            <w:vAlign w:val="top"/>
            <w:textDirection w:val="lrTb"/>
            <w:noWrap w:val="false"/>
          </w:tcPr>
          <w:p w14:paraId="5706A6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Mauvaise config ACME ; exposition dashboard ; secrets mal gérés.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601" w:type="dxa"/>
            <w:vAlign w:val="top"/>
            <w:textDirection w:val="lrTb"/>
            <w:noWrap w:val="false"/>
          </w:tcPr>
          <w:p w14:paraId="342DA1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HTTPS obligatoire ; HSTS ; dashboard non exposé/protégé ; secrets hors repo.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28" w:type="dxa"/>
            <w:vAlign w:val="top"/>
            <w:textDirection w:val="lrTb"/>
            <w:noWrap w:val="false"/>
          </w:tcPr>
          <w:p w14:paraId="2E12EF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docker-compose.yml + labels Traefik.</w:t>
            </w:r>
            <w:r/>
          </w:p>
        </w:tc>
      </w:tr>
      <w:tr>
        <w:trPr/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678" w:type="dxa"/>
            <w:vAlign w:val="top"/>
            <w:textDirection w:val="lrTb"/>
            <w:noWrap w:val="false"/>
          </w:tcPr>
          <w:p w14:paraId="7D9D20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VT-05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19" w:type="dxa"/>
            <w:vAlign w:val="top"/>
            <w:textDirection w:val="lrTb"/>
            <w:noWrap w:val="false"/>
          </w:tcPr>
          <w:p w14:paraId="53008B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Headers de sécurité + CSP (défense XSS)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958" w:type="dxa"/>
            <w:vAlign w:val="top"/>
            <w:textDirection w:val="lrTb"/>
            <w:noWrap w:val="false"/>
          </w:tcPr>
          <w:p w14:paraId="28B80A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Sécurité / Front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761" w:type="dxa"/>
            <w:vAlign w:val="top"/>
            <w:textDirection w:val="lrTb"/>
            <w:noWrap w:val="false"/>
          </w:tcPr>
          <w:p w14:paraId="539F24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https://cheatsheetseries.owasp.org/cheatsheets/Content_Security_Policy_Cheat_Sheet.html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57" w:type="dxa"/>
            <w:vAlign w:val="top"/>
            <w:textDirection w:val="lrTb"/>
            <w:noWrap w:val="false"/>
          </w:tcPr>
          <w:p w14:paraId="3F9885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15/02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841" w:type="dxa"/>
            <w:vAlign w:val="top"/>
            <w:textDirection w:val="lrTb"/>
            <w:noWrap w:val="false"/>
          </w:tcPr>
          <w:p w14:paraId="02110D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CSP réduit l’impact des XSS (sources scripts/styles/connexions). Démarrer en report-only puis enforcement.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313" w:type="dxa"/>
            <w:vAlign w:val="top"/>
            <w:textDirection w:val="lrTb"/>
            <w:noWrap w:val="false"/>
          </w:tcPr>
          <w:p w14:paraId="598C8C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Contenu utilisateur/IA potentiellement injecté ; scripts inline existants.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601" w:type="dxa"/>
            <w:vAlign w:val="top"/>
            <w:textDirection w:val="lrTb"/>
            <w:noWrap w:val="false"/>
          </w:tcPr>
          <w:p w14:paraId="39439E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CSP restrictive (self) ; limiter connect-src (API/IA) ; bannir inline ; report-only au début.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28" w:type="dxa"/>
            <w:vAlign w:val="top"/>
            <w:textDirection w:val="lrTb"/>
            <w:noWrap w:val="false"/>
          </w:tcPr>
          <w:p w14:paraId="2EE865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Config headers Traefik/API + doc CSP.</w:t>
            </w:r>
            <w:r/>
          </w:p>
        </w:tc>
      </w:tr>
      <w:tr>
        <w:trPr/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678" w:type="dxa"/>
            <w:vAlign w:val="top"/>
            <w:textDirection w:val="lrTb"/>
            <w:noWrap w:val="false"/>
          </w:tcPr>
          <w:p w14:paraId="4A9CF5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VT-06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19" w:type="dxa"/>
            <w:vAlign w:val="top"/>
            <w:textDirection w:val="lrTb"/>
            <w:noWrap w:val="false"/>
          </w:tcPr>
          <w:p w14:paraId="0F6034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Accessibilité : WCAG 2.2 (niveau AA ciblé sur pages clés)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958" w:type="dxa"/>
            <w:vAlign w:val="top"/>
            <w:textDirection w:val="lrTb"/>
            <w:noWrap w:val="false"/>
          </w:tcPr>
          <w:p w14:paraId="2A9A17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Qualité / Front / Accessibilité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761" w:type="dxa"/>
            <w:vAlign w:val="top"/>
            <w:textDirection w:val="lrTb"/>
            <w:noWrap w:val="false"/>
          </w:tcPr>
          <w:p w14:paraId="2CF6EF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https://www.w3.org/TR/WCAG22/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57" w:type="dxa"/>
            <w:vAlign w:val="top"/>
            <w:textDirection w:val="lrTb"/>
            <w:noWrap w:val="false"/>
          </w:tcPr>
          <w:p w14:paraId="549A6E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15/02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841" w:type="dxa"/>
            <w:vAlign w:val="top"/>
            <w:textDirection w:val="lrTb"/>
            <w:noWrap w:val="false"/>
          </w:tcPr>
          <w:p w14:paraId="618541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WCAG 2.2 : clavier, focus visible, contraste, alternatives texte, formulaires. Prioriser parcours MVP.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313" w:type="dxa"/>
            <w:vAlign w:val="top"/>
            <w:textDirection w:val="lrTb"/>
            <w:noWrap w:val="false"/>
          </w:tcPr>
          <w:p w14:paraId="617DA4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Coût de correction tardive ; non-conformité sur parcours critiques.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601" w:type="dxa"/>
            <w:vAlign w:val="top"/>
            <w:textDirection w:val="lrTb"/>
            <w:noWrap w:val="false"/>
          </w:tcPr>
          <w:p w14:paraId="72AB6F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Vise WCAG 2.2 AA sur pages clés ; audit Lighthouse/axe ; guidelines composants.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28" w:type="dxa"/>
            <w:vAlign w:val="top"/>
            <w:textDirection w:val="lrTb"/>
            <w:noWrap w:val="false"/>
          </w:tcPr>
          <w:p w14:paraId="2EFE31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Checklist a11y + audits + tickets.</w:t>
            </w:r>
            <w:r/>
          </w:p>
        </w:tc>
      </w:tr>
      <w:tr>
        <w:trPr/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678" w:type="dxa"/>
            <w:vAlign w:val="top"/>
            <w:textDirection w:val="lrTb"/>
            <w:noWrap w:val="false"/>
          </w:tcPr>
          <w:p w14:paraId="58AE2E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VT-07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19" w:type="dxa"/>
            <w:vAlign w:val="top"/>
            <w:textDirection w:val="lrTb"/>
            <w:noWrap w:val="false"/>
          </w:tcPr>
          <w:p w14:paraId="16BC20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Observabilité Node.js : OpenTelemetry (traces/metrics)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958" w:type="dxa"/>
            <w:vAlign w:val="top"/>
            <w:textDirection w:val="lrTb"/>
            <w:noWrap w:val="false"/>
          </w:tcPr>
          <w:p w14:paraId="564D67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DevOps / Observabilité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761" w:type="dxa"/>
            <w:vAlign w:val="top"/>
            <w:textDirection w:val="lrTb"/>
            <w:noWrap w:val="false"/>
          </w:tcPr>
          <w:p w14:paraId="10992E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https://opentelemetry.io/docs/languages/js/getting-started/nodejs/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57" w:type="dxa"/>
            <w:vAlign w:val="top"/>
            <w:textDirection w:val="lrTb"/>
            <w:noWrap w:val="false"/>
          </w:tcPr>
          <w:p w14:paraId="322F64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15/02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841" w:type="dxa"/>
            <w:vAlign w:val="top"/>
            <w:textDirection w:val="lrTb"/>
            <w:noWrap w:val="false"/>
          </w:tcPr>
          <w:p w14:paraId="2465E4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Instrumenter l’API : latence, erreurs, dépendances. Utile pour diagnostiquer perfs et appels IA.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313" w:type="dxa"/>
            <w:vAlign w:val="top"/>
            <w:textDirection w:val="lrTb"/>
            <w:noWrap w:val="false"/>
          </w:tcPr>
          <w:p w14:paraId="3FBC5D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Bugs intermittents ; lenteurs IA ; manque de visibilité en prod.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601" w:type="dxa"/>
            <w:vAlign w:val="top"/>
            <w:textDirection w:val="lrTb"/>
            <w:noWrap w:val="false"/>
          </w:tcPr>
          <w:p w14:paraId="5574E2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Logs structurés + instrumentation routes critiques ; métriques erreurs/latences/appels IA.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28" w:type="dxa"/>
            <w:vAlign w:val="top"/>
            <w:textDirection w:val="lrTb"/>
            <w:noWrap w:val="false"/>
          </w:tcPr>
          <w:p w14:paraId="7E82AA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Doc exploitation + plan dashboards (V2).</w:t>
            </w:r>
            <w:r/>
          </w:p>
        </w:tc>
      </w:tr>
      <w:tr>
        <w:trPr/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678" w:type="dxa"/>
            <w:vAlign w:val="top"/>
            <w:textDirection w:val="lrTb"/>
            <w:noWrap w:val="false"/>
          </w:tcPr>
          <w:p w14:paraId="757414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VT-08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19" w:type="dxa"/>
            <w:vAlign w:val="top"/>
            <w:textDirection w:val="lrTb"/>
            <w:noWrap w:val="false"/>
          </w:tcPr>
          <w:p w14:paraId="39DFFE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Sauvegardes PostgreSQL : pg_dump + tests réguliers de restauration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958" w:type="dxa"/>
            <w:vAlign w:val="top"/>
            <w:textDirection w:val="lrTb"/>
            <w:noWrap w:val="false"/>
          </w:tcPr>
          <w:p w14:paraId="4E889B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BDD / Exploitation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761" w:type="dxa"/>
            <w:vAlign w:val="top"/>
            <w:textDirection w:val="lrTb"/>
            <w:noWrap w:val="false"/>
          </w:tcPr>
          <w:p w14:paraId="69874B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https://www.postgresql.org/docs/current/app-pgdump.html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57" w:type="dxa"/>
            <w:vAlign w:val="top"/>
            <w:textDirection w:val="lrTb"/>
            <w:noWrap w:val="false"/>
          </w:tcPr>
          <w:p w14:paraId="655FF8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15/02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841" w:type="dxa"/>
            <w:vAlign w:val="top"/>
            <w:textDirection w:val="lrTb"/>
            <w:noWrap w:val="false"/>
          </w:tcPr>
          <w:p w14:paraId="6A1403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pg_dump (format custom) pour sauvegardes logiques ; définir rétention et tester la restauration.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313" w:type="dxa"/>
            <w:vAlign w:val="top"/>
            <w:textDirection w:val="lrTb"/>
            <w:noWrap w:val="false"/>
          </w:tcPr>
          <w:p w14:paraId="71842F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Perte de données (cartes, mindmaps) ; incident VPS ; sauvegarde inutilisable si non testée.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601" w:type="dxa"/>
            <w:vAlign w:val="top"/>
            <w:textDirection w:val="lrTb"/>
            <w:noWrap w:val="false"/>
          </w:tcPr>
          <w:p w14:paraId="59871C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Backup quotidien auto + rétention 7/30 jours ; stockage hors serveur ; test restore mensuel.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28" w:type="dxa"/>
            <w:vAlign w:val="top"/>
            <w:textDirection w:val="lrTb"/>
            <w:noWrap w:val="false"/>
          </w:tcPr>
          <w:p w14:paraId="55AD26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Script backup + procédure restore + logs.</w:t>
            </w:r>
            <w:r/>
          </w:p>
        </w:tc>
      </w:tr>
      <w:tr>
        <w:trPr/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678" w:type="dxa"/>
            <w:vAlign w:val="top"/>
            <w:textDirection w:val="lrTb"/>
            <w:noWrap w:val="false"/>
          </w:tcPr>
          <w:p w14:paraId="67C554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VT-09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19" w:type="dxa"/>
            <w:vAlign w:val="top"/>
            <w:textDirection w:val="lrTb"/>
            <w:noWrap w:val="false"/>
          </w:tcPr>
          <w:p w14:paraId="1B4F9D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Rate limiting / anti-abus sur Express (auth + endpoints IA)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958" w:type="dxa"/>
            <w:vAlign w:val="top"/>
            <w:textDirection w:val="lrTb"/>
            <w:noWrap w:val="false"/>
          </w:tcPr>
          <w:p w14:paraId="5A68FE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Sécurité / Back / Coûts IA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761" w:type="dxa"/>
            <w:vAlign w:val="top"/>
            <w:textDirection w:val="lrTb"/>
            <w:noWrap w:val="false"/>
          </w:tcPr>
          <w:p w14:paraId="106B8A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https://express-rate-limit.mintlify.app/overview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57" w:type="dxa"/>
            <w:vAlign w:val="top"/>
            <w:textDirection w:val="lrTb"/>
            <w:noWrap w:val="false"/>
          </w:tcPr>
          <w:p w14:paraId="0C17B9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15/02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841" w:type="dxa"/>
            <w:vAlign w:val="top"/>
            <w:textDirection w:val="lrTb"/>
            <w:noWrap w:val="false"/>
          </w:tcPr>
          <w:p w14:paraId="3BB651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Limiter requêtes réduit brute force et abus. Slow-down possible sur endpoints sensibles.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313" w:type="dxa"/>
            <w:vAlign w:val="top"/>
            <w:textDirection w:val="lrTb"/>
            <w:noWrap w:val="false"/>
          </w:tcPr>
          <w:p w14:paraId="3F94E8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Brute force login ; abus IA ; explosion coûts.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601" w:type="dxa"/>
            <w:vAlign w:val="top"/>
            <w:textDirection w:val="lrTb"/>
            <w:noWrap w:val="false"/>
          </w:tcPr>
          <w:p w14:paraId="3BA068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Rate limit + slow-down login/reset + IA ; quotas par user ; journaliser usage ; cut-off au-delà seuil.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28" w:type="dxa"/>
            <w:vAlign w:val="top"/>
            <w:textDirection w:val="lrTb"/>
            <w:noWrap w:val="false"/>
          </w:tcPr>
          <w:p w14:paraId="594C57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Middleware rate limit + métriques usage IA.</w:t>
            </w:r>
            <w:r/>
          </w:p>
        </w:tc>
      </w:tr>
      <w:tr>
        <w:trPr/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678" w:type="dxa"/>
            <w:vAlign w:val="top"/>
            <w:textDirection w:val="lrTb"/>
            <w:noWrap w:val="false"/>
          </w:tcPr>
          <w:p w14:paraId="517572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VT-10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19" w:type="dxa"/>
            <w:vAlign w:val="top"/>
            <w:textDirection w:val="lrTb"/>
            <w:noWrap w:val="false"/>
          </w:tcPr>
          <w:p w14:paraId="0C5BC7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Sécurité Vue : éviter XSS (v-html / rendu HTML non fiable)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958" w:type="dxa"/>
            <w:vAlign w:val="top"/>
            <w:textDirection w:val="lrTb"/>
            <w:noWrap w:val="false"/>
          </w:tcPr>
          <w:p w14:paraId="38560C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Sécurité / Front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761" w:type="dxa"/>
            <w:vAlign w:val="top"/>
            <w:textDirection w:val="lrTb"/>
            <w:noWrap w:val="false"/>
          </w:tcPr>
          <w:p w14:paraId="5AE180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https://vuejs.org/guide/best-practices/security.html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57" w:type="dxa"/>
            <w:vAlign w:val="top"/>
            <w:textDirection w:val="lrTb"/>
            <w:noWrap w:val="false"/>
          </w:tcPr>
          <w:p w14:paraId="15233A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15/02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841" w:type="dxa"/>
            <w:vAlign w:val="top"/>
            <w:textDirection w:val="lrTb"/>
            <w:noWrap w:val="false"/>
          </w:tcPr>
          <w:p w14:paraId="02CAC1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Vue échappe par défaut, mais v-html ou l’injection de templates peut créer des XSS. Sanitizer requis si HTML.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313" w:type="dxa"/>
            <w:vAlign w:val="top"/>
            <w:textDirection w:val="lrTb"/>
            <w:noWrap w:val="false"/>
          </w:tcPr>
          <w:p w14:paraId="17672A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Affichage contenu utilisateur/IA ; injection si rendu HTML.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601" w:type="dxa"/>
            <w:vAlign w:val="top"/>
            <w:textDirection w:val="lrTb"/>
            <w:noWrap w:val="false"/>
          </w:tcPr>
          <w:p w14:paraId="2775E3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Éviter v-html ; si rendu HTML, sanitation + CSP ; revue composants sensibles.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28" w:type="dxa"/>
            <w:vAlign w:val="top"/>
            <w:textDirection w:val="lrTb"/>
            <w:noWrap w:val="false"/>
          </w:tcPr>
          <w:p w14:paraId="7ED7D1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Règles lint + checklist revue PR.</w:t>
            </w:r>
            <w:r/>
          </w:p>
        </w:tc>
      </w:tr>
      <w:tr>
        <w:trPr/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678" w:type="dxa"/>
            <w:vAlign w:val="top"/>
            <w:textDirection w:val="lrTb"/>
            <w:noWrap w:val="false"/>
          </w:tcPr>
          <w:p w14:paraId="54ADBA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VT-11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19" w:type="dxa"/>
            <w:vAlign w:val="top"/>
            <w:textDirection w:val="lrTb"/>
            <w:noWrap w:val="false"/>
          </w:tcPr>
          <w:p w14:paraId="2CAB30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Pooling PostgreSQL côté API (node-postgres) + timeouts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958" w:type="dxa"/>
            <w:vAlign w:val="top"/>
            <w:textDirection w:val="lrTb"/>
            <w:noWrap w:val="false"/>
          </w:tcPr>
          <w:p w14:paraId="032344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Performance / Back / BDD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761" w:type="dxa"/>
            <w:vAlign w:val="top"/>
            <w:textDirection w:val="lrTb"/>
            <w:noWrap w:val="false"/>
          </w:tcPr>
          <w:p w14:paraId="3ECFC3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https://node-postgres.com/features/pooling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57" w:type="dxa"/>
            <w:vAlign w:val="top"/>
            <w:textDirection w:val="lrTb"/>
            <w:noWrap w:val="false"/>
          </w:tcPr>
          <w:p w14:paraId="797638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15/02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841" w:type="dxa"/>
            <w:vAlign w:val="top"/>
            <w:textDirection w:val="lrTb"/>
            <w:noWrap w:val="false"/>
          </w:tcPr>
          <w:p w14:paraId="71F8D4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Pool unique limite connexions et améliore stabilité. Ajuster max/idle/timeouts.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313" w:type="dxa"/>
            <w:vAlign w:val="top"/>
            <w:textDirection w:val="lrTb"/>
            <w:noWrap w:val="false"/>
          </w:tcPr>
          <w:p w14:paraId="16D6D5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Saturation Postgres ; latences ; crash sous charge.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601" w:type="dxa"/>
            <w:vAlign w:val="top"/>
            <w:textDirection w:val="lrTb"/>
            <w:noWrap w:val="false"/>
          </w:tcPr>
          <w:p w14:paraId="78EE02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Pool unique ; limites ; requêtes paramétrées ; indexation sur tables critiques.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28" w:type="dxa"/>
            <w:vAlign w:val="top"/>
            <w:textDirection w:val="lrTb"/>
            <w:noWrap w:val="false"/>
          </w:tcPr>
          <w:p w14:paraId="25EAAE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Config pool + migrations indexes.</w:t>
            </w:r>
            <w:r/>
          </w:p>
        </w:tc>
      </w:tr>
      <w:tr>
        <w:trPr/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678" w:type="dxa"/>
            <w:vAlign w:val="top"/>
            <w:textDirection w:val="lrTb"/>
            <w:noWrap w:val="false"/>
          </w:tcPr>
          <w:p w14:paraId="39B745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VT-12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19" w:type="dxa"/>
            <w:vAlign w:val="top"/>
            <w:textDirection w:val="lrTb"/>
            <w:noWrap w:val="false"/>
          </w:tcPr>
          <w:p w14:paraId="6A955B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Jobs asynchrones (emails, IA, exports) via BullMQ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958" w:type="dxa"/>
            <w:vAlign w:val="top"/>
            <w:textDirection w:val="lrTb"/>
            <w:noWrap w:val="false"/>
          </w:tcPr>
          <w:p w14:paraId="74307E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Architecture / Back / DevOps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761" w:type="dxa"/>
            <w:vAlign w:val="top"/>
            <w:textDirection w:val="lrTb"/>
            <w:noWrap w:val="false"/>
          </w:tcPr>
          <w:p w14:paraId="2BDDF2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https://docs.bullmq.io/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557" w:type="dxa"/>
            <w:vAlign w:val="top"/>
            <w:textDirection w:val="lrTb"/>
            <w:noWrap w:val="false"/>
          </w:tcPr>
          <w:p w14:paraId="657347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15/02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841" w:type="dxa"/>
            <w:vAlign w:val="top"/>
            <w:textDirection w:val="lrTb"/>
            <w:noWrap w:val="false"/>
          </w:tcPr>
          <w:p w14:paraId="387237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BullMQ sort les traitements longs des requêtes HTTP (retries, DLQ). Pertinent pour appels IA et emails.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313" w:type="dxa"/>
            <w:vAlign w:val="top"/>
            <w:textDirection w:val="lrTb"/>
            <w:noWrap w:val="false"/>
          </w:tcPr>
          <w:p w14:paraId="4A93AD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Timeouts HTTP ; traitement non fiable ; besoin retries/monitoring.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601" w:type="dxa"/>
            <w:vAlign w:val="top"/>
            <w:textDirection w:val="lrTb"/>
            <w:noWrap w:val="false"/>
          </w:tcPr>
          <w:p w14:paraId="3B1665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Prévoir queue pour tâches &gt;2–3 s ; worker séparé ; retries ; monitoring. MVP : optionnel si charge faible.</w:t>
            </w:r>
            <w:r/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1128" w:type="dxa"/>
            <w:vAlign w:val="top"/>
            <w:textDirection w:val="lrTb"/>
            <w:noWrap w:val="false"/>
          </w:tcPr>
          <w:p w14:paraId="4F69AA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Backlog V2 + POC worker + schéma technique.</w:t>
            </w:r>
            <w:r/>
          </w:p>
        </w:tc>
      </w:tr>
    </w:tbl>
    <w:p>
      <w:pPr>
        <w:pBdr/>
        <w:spacing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  <w:r>
        <w:rPr>
          <w:lang w:val="fr-FR"/>
        </w:rPr>
      </w:r>
    </w:p>
    <w:p>
      <w:pPr>
        <w:pStyle w:val="882"/>
        <w:pBdr/>
        <w:spacing/>
        <w:ind/>
        <w:rPr>
          <w:lang w:val="fr-FR"/>
        </w:rPr>
      </w:pPr>
      <w:r>
        <w:rPr>
          <w:lang w:val="fr-FR"/>
        </w:rPr>
        <w:t xml:space="preserve">4. Synthèse – décisions techniques issues de la veille</w:t>
      </w:r>
      <w:r>
        <w:rPr>
          <w:lang w:val="fr-FR"/>
        </w:rPr>
      </w:r>
      <w:r>
        <w:rPr>
          <w:lang w:val="fr-FR"/>
        </w:rPr>
      </w:r>
    </w:p>
    <w:p w14:paraId="027C7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53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Décisions validées (à relier à des preuves : ADR, schémas, backlog, checklist sécurité, etc.) :</w:t>
      </w:r>
      <w:r/>
    </w:p>
    <w:p w14:paraId="3165D8B9">
      <w:pPr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</w:tabs>
        <w:spacing w:line="253" w:lineRule="atLeast"/>
        <w:ind/>
        <w:rPr/>
      </w:pPr>
      <w:r>
        <w:rPr>
          <w:rFonts w:ascii="Calibri" w:hAnsi="Calibri" w:eastAsia="Calibri" w:cs="Calibri"/>
          <w:color w:val="000000"/>
          <w:sz w:val="22"/>
        </w:rPr>
        <w:t xml:space="preserve">Sécurité API : RBAC + contrôle d’accès au niveau objet (ownership) partout (OWASP API Top 10) – Preuve : checklist + tests.</w:t>
      </w:r>
      <w:r/>
    </w:p>
    <w:p w14:paraId="73B15909">
      <w:pPr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</w:tabs>
        <w:spacing w:line="253" w:lineRule="atLeast"/>
        <w:ind/>
        <w:rPr/>
      </w:pPr>
      <w:r>
        <w:rPr>
          <w:rFonts w:ascii="Calibri" w:hAnsi="Calibri" w:eastAsia="Calibri" w:cs="Calibri"/>
          <w:color w:val="000000"/>
          <w:sz w:val="22"/>
        </w:rPr>
        <w:t xml:space="preserve">Auth : Bcrypt + tokens reset hashés + limitation tentatives – Preuve : implémentation + tests.</w:t>
      </w:r>
      <w:r/>
    </w:p>
    <w:p w14:paraId="6B88FC21">
      <w:pPr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</w:tabs>
        <w:spacing w:line="253" w:lineRule="atLeast"/>
        <w:ind/>
        <w:rPr/>
      </w:pPr>
      <w:r>
        <w:rPr>
          <w:rFonts w:ascii="Calibri" w:hAnsi="Calibri" w:eastAsia="Calibri" w:cs="Calibri"/>
          <w:color w:val="000000"/>
          <w:sz w:val="22"/>
        </w:rPr>
        <w:t xml:space="preserve">Sessions : access token court + refresh rotation ; cookie httpOnly Secure SameSite ; validation JWT (aud/iss/exp) – Preuve : ADR + middleware.</w:t>
      </w:r>
      <w:r/>
    </w:p>
    <w:p w14:paraId="0A11DBDB">
      <w:pPr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</w:tabs>
        <w:spacing w:line="253" w:lineRule="atLeast"/>
        <w:ind/>
        <w:rPr/>
      </w:pPr>
      <w:r>
        <w:rPr>
          <w:rFonts w:ascii="Calibri" w:hAnsi="Calibri" w:eastAsia="Calibri" w:cs="Calibri"/>
          <w:color w:val="000000"/>
          <w:sz w:val="22"/>
        </w:rPr>
        <w:t xml:space="preserve">Infra : HTTPS obligatoire via Traefik + Let’s Encrypt ; redirection HTTP→HTTPS ; HSTS ; dashboard non exposé – Preuve : config Traefik.</w:t>
      </w:r>
      <w:r/>
    </w:p>
    <w:p w14:paraId="457E70CA">
      <w:pPr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</w:tabs>
        <w:spacing w:line="253" w:lineRule="atLeast"/>
        <w:ind/>
        <w:rPr/>
      </w:pPr>
      <w:r>
        <w:rPr>
          <w:rFonts w:ascii="Calibri" w:hAnsi="Calibri" w:eastAsia="Calibri" w:cs="Calibri"/>
          <w:color w:val="000000"/>
          <w:sz w:val="22"/>
        </w:rPr>
        <w:t xml:space="preserve">Front : CSP restrictive + headers sécurité ; éviter v-html ; sanitation si HTML – Preuve : config headers + règles de revue.</w:t>
      </w:r>
      <w:r/>
    </w:p>
    <w:p w14:paraId="12CDC96C">
      <w:pPr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</w:tabs>
        <w:spacing w:line="253" w:lineRule="atLeast"/>
        <w:ind/>
        <w:rPr/>
      </w:pPr>
      <w:r>
        <w:rPr>
          <w:rFonts w:ascii="Calibri" w:hAnsi="Calibri" w:eastAsia="Calibri" w:cs="Calibri"/>
          <w:color w:val="000000"/>
          <w:sz w:val="22"/>
        </w:rPr>
        <w:t xml:space="preserve">Données : backups PostgreSQL automatisés + tests de restauration réguliers – Preuve : scripts backup + procédure restore.</w:t>
      </w:r>
      <w:r>
        <w:rPr>
          <w:rFonts w:ascii="Calibri" w:hAnsi="Calibri" w:eastAsia="Calibri" w:cs="Calibri"/>
          <w:sz w:val="22"/>
        </w:rPr>
      </w:r>
      <w:r/>
    </w:p>
    <w:p>
      <w:pPr>
        <w:pBdr/>
        <w:spacing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  <w:r>
        <w:rPr>
          <w:lang w:val="fr-FR"/>
        </w:rPr>
      </w:r>
    </w:p>
    <w:p>
      <w:pPr>
        <w:pStyle w:val="882"/>
        <w:pBdr/>
        <w:spacing/>
        <w:ind/>
        <w:rPr>
          <w:lang w:val="fr-FR"/>
        </w:rPr>
      </w:pPr>
      <w:r>
        <w:rPr>
          <w:lang w:val="fr-FR"/>
        </w:rPr>
        <w:t xml:space="preserve">5. Backlog de veille (à traiter plus tard)</w:t>
      </w:r>
      <w:r>
        <w:rPr>
          <w:lang w:val="fr-FR"/>
        </w:rPr>
      </w:r>
      <w:r>
        <w:rPr>
          <w:lang w:val="fr-FR"/>
        </w:rPr>
      </w:r>
    </w:p>
    <w:p w14:paraId="4D9AC285">
      <w:pPr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</w:tabs>
        <w:spacing w:line="253" w:lineRule="atLeast"/>
        <w:ind/>
        <w:rPr/>
      </w:pPr>
      <w:r>
        <w:rPr>
          <w:rFonts w:ascii="Calibri" w:hAnsi="Calibri" w:eastAsia="Calibri" w:cs="Calibri"/>
          <w:color w:val="000000"/>
          <w:sz w:val="22"/>
        </w:rPr>
        <w:t xml:space="preserve">Sécurité IA (prompt injection, red teaming, filtrage contenu) – réduire risques – Priorité : Haute</w:t>
      </w:r>
      <w:r/>
    </w:p>
    <w:p w14:paraId="65F39317">
      <w:pPr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</w:tabs>
        <w:spacing w:line="253" w:lineRule="atLeast"/>
        <w:ind/>
        <w:rPr/>
      </w:pPr>
      <w:r>
        <w:rPr>
          <w:rFonts w:ascii="Calibri" w:hAnsi="Calibri" w:eastAsia="Calibri" w:cs="Calibri"/>
          <w:color w:val="000000"/>
          <w:sz w:val="22"/>
        </w:rPr>
        <w:t xml:space="preserve">Cache IA (clé, invalidation, confidentialité) – réduire coûts/latence – Priorité : Haute</w:t>
      </w:r>
      <w:r/>
    </w:p>
    <w:p w14:paraId="048796BB">
      <w:pPr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</w:tabs>
        <w:spacing w:line="253" w:lineRule="atLeast"/>
        <w:ind/>
        <w:rPr/>
      </w:pPr>
      <w:r>
        <w:rPr>
          <w:rFonts w:ascii="Calibri" w:hAnsi="Calibri" w:eastAsia="Calibri" w:cs="Calibri"/>
          <w:color w:val="000000"/>
          <w:sz w:val="22"/>
        </w:rPr>
        <w:t xml:space="preserve">Tests de charge (k6) + objectifs SLO – dimensionnement VPS – Priorité : Moyenne</w:t>
      </w:r>
      <w:r/>
    </w:p>
    <w:p w14:paraId="421EFCC5">
      <w:pPr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</w:tabs>
        <w:spacing w:line="253" w:lineRule="atLeast"/>
        <w:ind/>
        <w:rPr/>
      </w:pPr>
      <w:r>
        <w:rPr>
          <w:rFonts w:ascii="Calibri" w:hAnsi="Calibri" w:eastAsia="Calibri" w:cs="Calibri"/>
          <w:color w:val="000000"/>
          <w:sz w:val="22"/>
        </w:rPr>
        <w:t xml:space="preserve">Durcissement conteneurs + SCA (scan dépendances) – sécurité supply chain – Priorité : Moyenne</w:t>
      </w:r>
      <w:r/>
    </w:p>
    <w:p w14:paraId="399BCBF4">
      <w:pPr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</w:tabs>
        <w:spacing w:line="253" w:lineRule="atLeast"/>
        <w:ind/>
        <w:rPr/>
      </w:pPr>
      <w:r>
        <w:rPr>
          <w:rFonts w:ascii="Calibri" w:hAnsi="Calibri" w:eastAsia="Calibri" w:cs="Calibri"/>
          <w:color w:val="000000"/>
          <w:sz w:val="22"/>
        </w:rPr>
        <w:t xml:space="preserve">Observabilité complète (Prometheus/Grafana, traces, logs) – exploitation prod – Priorité : Moyenne</w:t>
      </w:r>
      <w:r>
        <w:rPr>
          <w:rFonts w:ascii="Calibri" w:hAnsi="Calibri" w:eastAsia="Calibri" w:cs="Calibri"/>
          <w:sz w:val="22"/>
        </w:rPr>
      </w:r>
      <w:r/>
    </w:p>
    <w:p>
      <w:pPr>
        <w:pBdr/>
        <w:spacing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  <w:r>
        <w:rPr>
          <w:lang w:val="fr-FR"/>
        </w:rPr>
      </w:r>
    </w:p>
    <w:p>
      <w:pPr>
        <w:pStyle w:val="882"/>
        <w:pBdr/>
        <w:spacing/>
        <w:ind/>
        <w:rPr>
          <w:lang w:val="fr-FR"/>
        </w:rPr>
      </w:pPr>
      <w:r>
        <w:rPr>
          <w:lang w:val="fr-FR"/>
        </w:rPr>
        <w:t xml:space="preserve">6. Historique des versions</w:t>
      </w:r>
      <w:r>
        <w:rPr>
          <w:lang w:val="fr-FR"/>
        </w:rPr>
      </w:r>
      <w:r>
        <w:rPr>
          <w:lang w:val="fr-FR"/>
        </w:rPr>
      </w:r>
    </w:p>
    <w:tbl>
      <w:tblPr>
        <w:tblStyle w:val="942"/>
        <w:tblW w:w="0" w:type="auto"/>
        <w:tblBorders/>
        <w:tblLook w:val="04A0" w:firstRow="1" w:lastRow="0" w:firstColumn="1" w:lastColumn="0" w:noHBand="0" w:noVBand="1"/>
      </w:tblPr>
      <w:tblGrid>
        <w:gridCol w:w="3620"/>
        <w:gridCol w:w="3620"/>
        <w:gridCol w:w="3620"/>
        <w:gridCol w:w="3620"/>
      </w:tblGrid>
      <w:tr>
        <w:trPr/>
        <w:tc>
          <w:tcPr>
            <w:tcBorders/>
            <w:tcW w:w="36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b/>
                <w:lang w:val="fr-FR"/>
              </w:rPr>
              <w:t xml:space="preserve">Version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W w:w="36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b/>
                <w:lang w:val="fr-FR"/>
              </w:rPr>
              <w:t xml:space="preserve">Date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W w:w="36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b/>
                <w:lang w:val="fr-FR"/>
              </w:rPr>
              <w:t xml:space="preserve">Auteur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W w:w="36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fr-FR"/>
              </w:rPr>
            </w:pPr>
            <w:r>
              <w:rPr>
                <w:b/>
                <w:lang w:val="fr-FR"/>
              </w:rPr>
              <w:t xml:space="preserve">Changements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  <w:tr>
        <w:trPr>
          <w:trHeight w:val="186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lang w:val="fr-FR"/>
              </w:rPr>
              <w:t xml:space="preserve">V0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W w:w="3620" w:type="dxa"/>
            <w:textDirection w:val="lrTb"/>
            <w:noWrap w:val="false"/>
          </w:tcPr>
          <w:p>
            <w:pPr>
              <w:pBdr/>
              <w:tabs>
                <w:tab w:val="center" w:leader="none" w:pos="1702"/>
              </w:tabs>
              <w:spacing/>
              <w:ind/>
              <w:rPr>
                <w:lang w:val="fr-FR"/>
              </w:rPr>
            </w:pPr>
            <w:r>
              <w:rPr>
                <w:lang w:val="fr-FR"/>
              </w:rPr>
              <w:t xml:space="preserve">15/02/2026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W w:w="36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lang w:val="fr-FR"/>
              </w:rPr>
              <w:t xml:space="preserve">Macabiau Frederic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W w:w="36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lang w:val="fr-FR"/>
              </w:rPr>
              <w:t xml:space="preserve">Première édition</w:t>
            </w:r>
            <w:r>
              <w:rPr>
                <w:lang w:val="fr-FR"/>
              </w:rPr>
            </w:r>
          </w:p>
        </w:tc>
      </w:tr>
      <w:tr>
        <w:trPr/>
        <w:tc>
          <w:tcPr>
            <w:tcBorders/>
            <w:tcW w:w="36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lang w:val="fr-FR"/>
              </w:rPr>
              <w:t xml:space="preserve">[V0/V1...]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W w:w="36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lang w:val="fr-FR"/>
              </w:rPr>
              <w:t xml:space="preserve">[JJ/MM/AAAA]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W w:w="36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lang w:val="fr-FR"/>
              </w:rPr>
              <w:t xml:space="preserve">[Nom]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W w:w="36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lang w:val="fr-FR"/>
              </w:rPr>
              <w:t xml:space="preserve">[Résumé des changements]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  <w:tr>
        <w:trPr/>
        <w:tc>
          <w:tcPr>
            <w:tcBorders/>
            <w:tcW w:w="36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lang w:val="fr-FR"/>
              </w:rPr>
              <w:t xml:space="preserve">[V0/V1...]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W w:w="36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lang w:val="fr-FR"/>
              </w:rPr>
              <w:t xml:space="preserve">[JJ/MM/AAAA]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W w:w="36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lang w:val="fr-FR"/>
              </w:rPr>
              <w:t xml:space="preserve">[Nom]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W w:w="36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lang w:val="fr-FR"/>
              </w:rPr>
              <w:t xml:space="preserve">[Résumé des changements]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  <w:tr>
        <w:trPr/>
        <w:tc>
          <w:tcPr>
            <w:tcBorders/>
            <w:tcW w:w="36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lang w:val="fr-FR"/>
              </w:rPr>
              <w:t xml:space="preserve">[V0/V1...]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W w:w="36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lang w:val="fr-FR"/>
              </w:rPr>
              <w:t xml:space="preserve">[JJ/MM/AAAA]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W w:w="36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lang w:val="fr-FR"/>
              </w:rPr>
              <w:t xml:space="preserve">[Nom]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/>
            <w:tcW w:w="362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fr-FR"/>
              </w:rPr>
            </w:pPr>
            <w:r>
              <w:rPr>
                <w:lang w:val="fr-FR"/>
              </w:rPr>
              <w:t xml:space="preserve">[Résumé des changements]</w:t>
            </w: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 w14:paraId="08121F55">
      <w:pPr>
        <w:pBdr/>
        <w:spacing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  <w:r>
        <w:rPr>
          <w:lang w:val="fr-FR"/>
        </w:rPr>
      </w:r>
    </w:p>
    <w:sectPr>
      <w:footnotePr/>
      <w:endnotePr/>
      <w:type w:val="nextPage"/>
      <w:pgSz w:h="12240" w:orient="landscape" w:w="15840"/>
      <w:pgMar w:top="794" w:right="680" w:bottom="794" w:left="68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1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1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D9EB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80F10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8704E6B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&quot;&quot;"/>
      <w:numFmt w:val="bullet"/>
      <w:pPr>
        <w:pBdr/>
        <w:spacing/>
        <w:ind w:firstLine="0" w:left="0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&quot;&quot;"/>
      <w:numFmt w:val="bullet"/>
      <w:pPr>
        <w:pBdr/>
        <w:spacing/>
        <w:ind w:firstLine="0" w:left="0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&quot;&quot;"/>
      <w:numFmt w:val="bullet"/>
      <w:pPr>
        <w:pBdr/>
        <w:spacing/>
        <w:ind w:firstLine="0" w:left="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&quot;&quot;"/>
      <w:numFmt w:val="bullet"/>
      <w:pPr>
        <w:pBdr/>
        <w:spacing/>
        <w:ind w:firstLine="0" w:left="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&quot;&quot;"/>
      <w:numFmt w:val="bullet"/>
      <w:pPr>
        <w:pBdr/>
        <w:spacing/>
        <w:ind w:firstLine="0" w:left="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&quot;&quot;"/>
      <w:numFmt w:val="bullet"/>
      <w:pPr>
        <w:pBdr/>
        <w:spacing/>
        <w:ind w:firstLine="0" w:left="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&quot;&quot;"/>
      <w:numFmt w:val="bullet"/>
      <w:pPr>
        <w:pBdr/>
        <w:spacing/>
        <w:ind w:firstLine="0" w:left="0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&quot;&quot;"/>
      <w:numFmt w:val="bullet"/>
      <w:pPr>
        <w:pBdr/>
        <w:spacing/>
        <w:ind w:firstLine="0" w:left="0"/>
      </w:pPr>
      <w:rPr>
        <w:rFonts w:hint="default" w:ascii="Symbol" w:hAnsi="Symbol" w:eastAsia="Symbol" w:cs="Symbol"/>
      </w:rPr>
      <w:start w:val="1"/>
      <w:suff w:val="tab"/>
    </w:lvl>
  </w:abstractNum>
  <w:abstractNum w:abstractNumId="12">
    <w:nsid w:val="3FAD6410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&quot;&quot;"/>
      <w:numFmt w:val="bullet"/>
      <w:pPr>
        <w:pBdr/>
        <w:spacing/>
        <w:ind w:firstLine="0" w:left="0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&quot;&quot;"/>
      <w:numFmt w:val="bullet"/>
      <w:pPr>
        <w:pBdr/>
        <w:spacing/>
        <w:ind w:firstLine="0" w:left="0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&quot;&quot;"/>
      <w:numFmt w:val="bullet"/>
      <w:pPr>
        <w:pBdr/>
        <w:spacing/>
        <w:ind w:firstLine="0" w:left="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&quot;&quot;"/>
      <w:numFmt w:val="bullet"/>
      <w:pPr>
        <w:pBdr/>
        <w:spacing/>
        <w:ind w:firstLine="0" w:left="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&quot;&quot;"/>
      <w:numFmt w:val="bullet"/>
      <w:pPr>
        <w:pBdr/>
        <w:spacing/>
        <w:ind w:firstLine="0" w:left="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&quot;&quot;"/>
      <w:numFmt w:val="bullet"/>
      <w:pPr>
        <w:pBdr/>
        <w:spacing/>
        <w:ind w:firstLine="0" w:left="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&quot;&quot;"/>
      <w:numFmt w:val="bullet"/>
      <w:pPr>
        <w:pBdr/>
        <w:spacing/>
        <w:ind w:firstLine="0" w:left="0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&quot;&quot;"/>
      <w:numFmt w:val="bullet"/>
      <w:pPr>
        <w:pBdr/>
        <w:spacing/>
        <w:ind w:firstLine="0" w:left="0"/>
      </w:pPr>
      <w:rPr>
        <w:rFonts w:hint="default" w:ascii="Symbol" w:hAnsi="Symbol" w:eastAsia="Symbol" w:cs="Symbol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3">
    <w:name w:val="Table Grid Light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1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2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1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2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3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5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6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8">
    <w:name w:val="footnote text"/>
    <w:basedOn w:val="877"/>
    <w:link w:val="85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9">
    <w:name w:val="Footnote Text Char"/>
    <w:basedOn w:val="891"/>
    <w:link w:val="858"/>
    <w:uiPriority w:val="99"/>
    <w:semiHidden/>
    <w:pPr>
      <w:pBdr/>
      <w:spacing/>
      <w:ind/>
    </w:pPr>
    <w:rPr>
      <w:sz w:val="20"/>
      <w:szCs w:val="20"/>
    </w:rPr>
  </w:style>
  <w:style w:type="character" w:styleId="860">
    <w:name w:val="foot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paragraph" w:styleId="861">
    <w:name w:val="endnote text"/>
    <w:basedOn w:val="877"/>
    <w:link w:val="8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2">
    <w:name w:val="Endnote Text Char"/>
    <w:basedOn w:val="891"/>
    <w:link w:val="861"/>
    <w:uiPriority w:val="99"/>
    <w:semiHidden/>
    <w:pPr>
      <w:pBdr/>
      <w:spacing/>
      <w:ind/>
    </w:pPr>
    <w:rPr>
      <w:sz w:val="20"/>
      <w:szCs w:val="20"/>
    </w:rPr>
  </w:style>
  <w:style w:type="character" w:styleId="863">
    <w:name w:val="end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character" w:styleId="864">
    <w:name w:val="Hyperlink"/>
    <w:basedOn w:val="8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5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6">
    <w:name w:val="toc 1"/>
    <w:basedOn w:val="877"/>
    <w:next w:val="877"/>
    <w:uiPriority w:val="39"/>
    <w:unhideWhenUsed/>
    <w:pPr>
      <w:pBdr/>
      <w:spacing w:after="100"/>
      <w:ind/>
    </w:pPr>
  </w:style>
  <w:style w:type="paragraph" w:styleId="867">
    <w:name w:val="toc 2"/>
    <w:basedOn w:val="877"/>
    <w:next w:val="877"/>
    <w:uiPriority w:val="39"/>
    <w:unhideWhenUsed/>
    <w:pPr>
      <w:pBdr/>
      <w:spacing w:after="100"/>
      <w:ind w:left="220"/>
    </w:pPr>
  </w:style>
  <w:style w:type="paragraph" w:styleId="868">
    <w:name w:val="toc 3"/>
    <w:basedOn w:val="877"/>
    <w:next w:val="877"/>
    <w:uiPriority w:val="39"/>
    <w:unhideWhenUsed/>
    <w:pPr>
      <w:pBdr/>
      <w:spacing w:after="100"/>
      <w:ind w:left="440"/>
    </w:pPr>
  </w:style>
  <w:style w:type="paragraph" w:styleId="869">
    <w:name w:val="toc 4"/>
    <w:basedOn w:val="877"/>
    <w:next w:val="877"/>
    <w:uiPriority w:val="39"/>
    <w:unhideWhenUsed/>
    <w:pPr>
      <w:pBdr/>
      <w:spacing w:after="100"/>
      <w:ind w:left="660"/>
    </w:pPr>
  </w:style>
  <w:style w:type="paragraph" w:styleId="870">
    <w:name w:val="toc 5"/>
    <w:basedOn w:val="877"/>
    <w:next w:val="877"/>
    <w:uiPriority w:val="39"/>
    <w:unhideWhenUsed/>
    <w:pPr>
      <w:pBdr/>
      <w:spacing w:after="100"/>
      <w:ind w:left="880"/>
    </w:pPr>
  </w:style>
  <w:style w:type="paragraph" w:styleId="871">
    <w:name w:val="toc 6"/>
    <w:basedOn w:val="877"/>
    <w:next w:val="877"/>
    <w:uiPriority w:val="39"/>
    <w:unhideWhenUsed/>
    <w:pPr>
      <w:pBdr/>
      <w:spacing w:after="100"/>
      <w:ind w:left="1100"/>
    </w:pPr>
  </w:style>
  <w:style w:type="paragraph" w:styleId="872">
    <w:name w:val="toc 7"/>
    <w:basedOn w:val="877"/>
    <w:next w:val="877"/>
    <w:uiPriority w:val="39"/>
    <w:unhideWhenUsed/>
    <w:pPr>
      <w:pBdr/>
      <w:spacing w:after="100"/>
      <w:ind w:left="1320"/>
    </w:pPr>
  </w:style>
  <w:style w:type="paragraph" w:styleId="873">
    <w:name w:val="toc 8"/>
    <w:basedOn w:val="877"/>
    <w:next w:val="877"/>
    <w:uiPriority w:val="39"/>
    <w:unhideWhenUsed/>
    <w:pPr>
      <w:pBdr/>
      <w:spacing w:after="100"/>
      <w:ind w:left="1540"/>
    </w:pPr>
  </w:style>
  <w:style w:type="paragraph" w:styleId="874">
    <w:name w:val="toc 9"/>
    <w:basedOn w:val="877"/>
    <w:next w:val="877"/>
    <w:uiPriority w:val="39"/>
    <w:unhideWhenUsed/>
    <w:pPr>
      <w:pBdr/>
      <w:spacing w:after="100"/>
      <w:ind w:left="1760"/>
    </w:pPr>
  </w:style>
  <w:style w:type="character" w:styleId="875">
    <w:name w:val="Placeholder Text"/>
    <w:basedOn w:val="891"/>
    <w:uiPriority w:val="99"/>
    <w:semiHidden/>
    <w:pPr>
      <w:pBdr/>
      <w:spacing/>
      <w:ind/>
    </w:pPr>
    <w:rPr>
      <w:color w:val="666666"/>
    </w:rPr>
  </w:style>
  <w:style w:type="paragraph" w:styleId="876">
    <w:name w:val="table of figures"/>
    <w:basedOn w:val="877"/>
    <w:next w:val="877"/>
    <w:uiPriority w:val="99"/>
    <w:unhideWhenUsed/>
    <w:pPr>
      <w:pBdr/>
      <w:spacing w:after="0" w:afterAutospacing="0"/>
      <w:ind/>
    </w:pPr>
  </w:style>
  <w:style w:type="paragraph" w:styleId="877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878">
    <w:name w:val="Header"/>
    <w:basedOn w:val="877"/>
    <w:link w:val="87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9" w:customStyle="1">
    <w:name w:val="Header Char"/>
    <w:basedOn w:val="891"/>
    <w:link w:val="878"/>
    <w:uiPriority w:val="99"/>
    <w:pPr>
      <w:pBdr/>
      <w:spacing/>
      <w:ind/>
    </w:pPr>
  </w:style>
  <w:style w:type="paragraph" w:styleId="880">
    <w:name w:val="Footer"/>
    <w:basedOn w:val="877"/>
    <w:link w:val="88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1" w:customStyle="1">
    <w:name w:val="Footer Char"/>
    <w:basedOn w:val="891"/>
    <w:link w:val="880"/>
    <w:uiPriority w:val="99"/>
    <w:pPr>
      <w:pBdr/>
      <w:spacing/>
      <w:ind/>
    </w:pPr>
  </w:style>
  <w:style w:type="paragraph" w:styleId="882">
    <w:name w:val="Heading 1"/>
    <w:basedOn w:val="877"/>
    <w:next w:val="877"/>
    <w:link w:val="89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83">
    <w:name w:val="Heading 2"/>
    <w:basedOn w:val="877"/>
    <w:next w:val="877"/>
    <w:link w:val="89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84">
    <w:name w:val="Heading 3"/>
    <w:basedOn w:val="877"/>
    <w:next w:val="877"/>
    <w:link w:val="89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85">
    <w:name w:val="Heading 4"/>
    <w:basedOn w:val="877"/>
    <w:next w:val="877"/>
    <w:link w:val="92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6">
    <w:name w:val="Heading 5"/>
    <w:basedOn w:val="877"/>
    <w:next w:val="877"/>
    <w:link w:val="92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87">
    <w:name w:val="Heading 6"/>
    <w:basedOn w:val="877"/>
    <w:next w:val="877"/>
    <w:link w:val="92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8">
    <w:name w:val="Heading 7"/>
    <w:basedOn w:val="877"/>
    <w:next w:val="877"/>
    <w:link w:val="92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9">
    <w:name w:val="Heading 8"/>
    <w:basedOn w:val="877"/>
    <w:next w:val="877"/>
    <w:link w:val="92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0">
    <w:name w:val="Heading 9"/>
    <w:basedOn w:val="877"/>
    <w:next w:val="877"/>
    <w:link w:val="93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1" w:default="1">
    <w:name w:val="Default Paragraph Font"/>
    <w:uiPriority w:val="1"/>
    <w:semiHidden/>
    <w:unhideWhenUsed/>
    <w:pPr>
      <w:pBdr/>
      <w:spacing/>
      <w:ind/>
    </w:pPr>
  </w:style>
  <w:style w:type="table" w:styleId="89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3" w:default="1">
    <w:name w:val="No List"/>
    <w:uiPriority w:val="99"/>
    <w:semiHidden/>
    <w:unhideWhenUsed/>
    <w:pPr>
      <w:pBdr/>
      <w:spacing/>
      <w:ind/>
    </w:pPr>
  </w:style>
  <w:style w:type="paragraph" w:styleId="894">
    <w:name w:val="No Spacing"/>
    <w:uiPriority w:val="1"/>
    <w:qFormat/>
    <w:pPr>
      <w:pBdr/>
      <w:spacing w:after="0" w:line="240" w:lineRule="auto"/>
      <w:ind/>
    </w:pPr>
  </w:style>
  <w:style w:type="character" w:styleId="895" w:customStyle="1">
    <w:name w:val="Heading 1 Char"/>
    <w:basedOn w:val="891"/>
    <w:link w:val="88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96" w:customStyle="1">
    <w:name w:val="Heading 2 Char"/>
    <w:basedOn w:val="891"/>
    <w:link w:val="88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97" w:customStyle="1">
    <w:name w:val="Heading 3 Char"/>
    <w:basedOn w:val="891"/>
    <w:link w:val="88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8">
    <w:name w:val="Title"/>
    <w:basedOn w:val="877"/>
    <w:next w:val="877"/>
    <w:link w:val="89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9" w:customStyle="1">
    <w:name w:val="Title Char"/>
    <w:basedOn w:val="891"/>
    <w:link w:val="89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0">
    <w:name w:val="Subtitle"/>
    <w:basedOn w:val="877"/>
    <w:next w:val="877"/>
    <w:link w:val="90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1" w:customStyle="1">
    <w:name w:val="Subtitle Char"/>
    <w:basedOn w:val="891"/>
    <w:link w:val="90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2">
    <w:name w:val="List Paragraph"/>
    <w:basedOn w:val="877"/>
    <w:uiPriority w:val="34"/>
    <w:qFormat/>
    <w:pPr>
      <w:pBdr/>
      <w:spacing/>
      <w:ind w:left="720"/>
      <w:contextualSpacing w:val="true"/>
    </w:pPr>
  </w:style>
  <w:style w:type="paragraph" w:styleId="903">
    <w:name w:val="Body Text"/>
    <w:basedOn w:val="877"/>
    <w:link w:val="904"/>
    <w:uiPriority w:val="99"/>
    <w:unhideWhenUsed/>
    <w:pPr>
      <w:pBdr/>
      <w:spacing w:after="120"/>
      <w:ind/>
    </w:pPr>
  </w:style>
  <w:style w:type="character" w:styleId="904" w:customStyle="1">
    <w:name w:val="Body Text Char"/>
    <w:basedOn w:val="891"/>
    <w:link w:val="903"/>
    <w:uiPriority w:val="99"/>
    <w:pPr>
      <w:pBdr/>
      <w:spacing/>
      <w:ind/>
    </w:pPr>
  </w:style>
  <w:style w:type="paragraph" w:styleId="905">
    <w:name w:val="Body Text 2"/>
    <w:basedOn w:val="877"/>
    <w:link w:val="906"/>
    <w:uiPriority w:val="99"/>
    <w:unhideWhenUsed/>
    <w:pPr>
      <w:pBdr/>
      <w:spacing w:after="120" w:line="480" w:lineRule="auto"/>
      <w:ind/>
    </w:pPr>
  </w:style>
  <w:style w:type="character" w:styleId="906" w:customStyle="1">
    <w:name w:val="Body Text 2 Char"/>
    <w:basedOn w:val="891"/>
    <w:link w:val="905"/>
    <w:uiPriority w:val="99"/>
    <w:pPr>
      <w:pBdr/>
      <w:spacing/>
      <w:ind/>
    </w:pPr>
  </w:style>
  <w:style w:type="paragraph" w:styleId="907">
    <w:name w:val="Body Text 3"/>
    <w:basedOn w:val="877"/>
    <w:link w:val="90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8" w:customStyle="1">
    <w:name w:val="Body Text 3 Char"/>
    <w:basedOn w:val="891"/>
    <w:link w:val="907"/>
    <w:uiPriority w:val="99"/>
    <w:pPr>
      <w:pBdr/>
      <w:spacing/>
      <w:ind/>
    </w:pPr>
    <w:rPr>
      <w:sz w:val="16"/>
      <w:szCs w:val="16"/>
    </w:rPr>
  </w:style>
  <w:style w:type="paragraph" w:styleId="909">
    <w:name w:val="List"/>
    <w:basedOn w:val="877"/>
    <w:uiPriority w:val="99"/>
    <w:unhideWhenUsed/>
    <w:pPr>
      <w:pBdr/>
      <w:spacing/>
      <w:ind w:hanging="360" w:left="360"/>
      <w:contextualSpacing w:val="true"/>
    </w:pPr>
  </w:style>
  <w:style w:type="paragraph" w:styleId="910">
    <w:name w:val="List 2"/>
    <w:basedOn w:val="877"/>
    <w:uiPriority w:val="99"/>
    <w:unhideWhenUsed/>
    <w:pPr>
      <w:pBdr/>
      <w:spacing/>
      <w:ind w:hanging="360" w:left="720"/>
      <w:contextualSpacing w:val="true"/>
    </w:pPr>
  </w:style>
  <w:style w:type="paragraph" w:styleId="911">
    <w:name w:val="List 3"/>
    <w:basedOn w:val="877"/>
    <w:uiPriority w:val="99"/>
    <w:unhideWhenUsed/>
    <w:pPr>
      <w:pBdr/>
      <w:spacing/>
      <w:ind w:hanging="360" w:left="1080"/>
      <w:contextualSpacing w:val="true"/>
    </w:pPr>
  </w:style>
  <w:style w:type="paragraph" w:styleId="912">
    <w:name w:val="List Bullet"/>
    <w:basedOn w:val="87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3">
    <w:name w:val="List Bullet 2"/>
    <w:basedOn w:val="87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14">
    <w:name w:val="List Bullet 3"/>
    <w:basedOn w:val="87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15">
    <w:name w:val="List Number"/>
    <w:basedOn w:val="87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6">
    <w:name w:val="List Number 2"/>
    <w:basedOn w:val="87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7">
    <w:name w:val="List Number 3"/>
    <w:basedOn w:val="87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8">
    <w:name w:val="List Continue"/>
    <w:basedOn w:val="877"/>
    <w:uiPriority w:val="99"/>
    <w:unhideWhenUsed/>
    <w:pPr>
      <w:pBdr/>
      <w:spacing w:after="120"/>
      <w:ind w:left="360"/>
      <w:contextualSpacing w:val="true"/>
    </w:pPr>
  </w:style>
  <w:style w:type="paragraph" w:styleId="919">
    <w:name w:val="List Continue 2"/>
    <w:basedOn w:val="877"/>
    <w:uiPriority w:val="99"/>
    <w:unhideWhenUsed/>
    <w:pPr>
      <w:pBdr/>
      <w:spacing w:after="120"/>
      <w:ind w:left="720"/>
      <w:contextualSpacing w:val="true"/>
    </w:pPr>
  </w:style>
  <w:style w:type="paragraph" w:styleId="920">
    <w:name w:val="List Continue 3"/>
    <w:basedOn w:val="877"/>
    <w:uiPriority w:val="99"/>
    <w:unhideWhenUsed/>
    <w:pPr>
      <w:pBdr/>
      <w:spacing w:after="120"/>
      <w:ind w:left="1080"/>
      <w:contextualSpacing w:val="true"/>
    </w:pPr>
  </w:style>
  <w:style w:type="paragraph" w:styleId="921">
    <w:name w:val="macro"/>
    <w:link w:val="92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2" w:customStyle="1">
    <w:name w:val="Macro Text Char"/>
    <w:basedOn w:val="891"/>
    <w:link w:val="92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3">
    <w:name w:val="Quote"/>
    <w:basedOn w:val="877"/>
    <w:next w:val="877"/>
    <w:link w:val="92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24" w:customStyle="1">
    <w:name w:val="Quote Char"/>
    <w:basedOn w:val="891"/>
    <w:link w:val="923"/>
    <w:uiPriority w:val="29"/>
    <w:pPr>
      <w:pBdr/>
      <w:spacing/>
      <w:ind/>
    </w:pPr>
    <w:rPr>
      <w:i/>
      <w:iCs/>
      <w:color w:val="000000" w:themeColor="text1"/>
    </w:rPr>
  </w:style>
  <w:style w:type="character" w:styleId="925" w:customStyle="1">
    <w:name w:val="Heading 4 Char"/>
    <w:basedOn w:val="891"/>
    <w:link w:val="88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6" w:customStyle="1">
    <w:name w:val="Heading 5 Char"/>
    <w:basedOn w:val="891"/>
    <w:link w:val="88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7" w:customStyle="1">
    <w:name w:val="Heading 6 Char"/>
    <w:basedOn w:val="891"/>
    <w:link w:val="88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8" w:customStyle="1">
    <w:name w:val="Heading 7 Char"/>
    <w:basedOn w:val="891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9" w:customStyle="1">
    <w:name w:val="Heading 8 Char"/>
    <w:basedOn w:val="891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0" w:customStyle="1">
    <w:name w:val="Heading 9 Char"/>
    <w:basedOn w:val="891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1">
    <w:name w:val="Caption"/>
    <w:basedOn w:val="877"/>
    <w:next w:val="87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2">
    <w:name w:val="Strong"/>
    <w:basedOn w:val="891"/>
    <w:uiPriority w:val="22"/>
    <w:qFormat/>
    <w:pPr>
      <w:pBdr/>
      <w:spacing/>
      <w:ind/>
    </w:pPr>
    <w:rPr>
      <w:b/>
      <w:bCs/>
    </w:rPr>
  </w:style>
  <w:style w:type="character" w:styleId="933">
    <w:name w:val="Emphasis"/>
    <w:basedOn w:val="891"/>
    <w:uiPriority w:val="20"/>
    <w:qFormat/>
    <w:pPr>
      <w:pBdr/>
      <w:spacing/>
      <w:ind/>
    </w:pPr>
    <w:rPr>
      <w:i/>
      <w:iCs/>
    </w:rPr>
  </w:style>
  <w:style w:type="paragraph" w:styleId="934">
    <w:name w:val="Intense Quote"/>
    <w:basedOn w:val="877"/>
    <w:next w:val="877"/>
    <w:link w:val="93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35" w:customStyle="1">
    <w:name w:val="Intense Quote Char"/>
    <w:basedOn w:val="891"/>
    <w:link w:val="93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6">
    <w:name w:val="Subtle Emphasis"/>
    <w:basedOn w:val="89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7">
    <w:name w:val="Intense Emphasis"/>
    <w:basedOn w:val="89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8">
    <w:name w:val="Subtle Reference"/>
    <w:basedOn w:val="89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9">
    <w:name w:val="Intense Reference"/>
    <w:basedOn w:val="89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0">
    <w:name w:val="Book Title"/>
    <w:basedOn w:val="89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1">
    <w:name w:val="TOC Heading"/>
    <w:basedOn w:val="882"/>
    <w:next w:val="877"/>
    <w:uiPriority w:val="39"/>
    <w:semiHidden/>
    <w:unhideWhenUsed/>
    <w:qFormat/>
    <w:pPr>
      <w:pBdr/>
      <w:spacing/>
      <w:ind/>
      <w:outlineLvl w:val="9"/>
    </w:pPr>
  </w:style>
  <w:style w:type="table" w:styleId="942">
    <w:name w:val="Table Grid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Shading"/>
    <w:basedOn w:val="89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Shading Accent 1"/>
    <w:basedOn w:val="89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Shading Accent 2"/>
    <w:basedOn w:val="89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Shading Accent 3"/>
    <w:basedOn w:val="89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Shading Accent 4"/>
    <w:basedOn w:val="89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Shading Accent 5"/>
    <w:basedOn w:val="89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Shading Accent 6"/>
    <w:basedOn w:val="89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List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List Accent 1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List Accent 2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List Accent 3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List Accent 4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List Accent 5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List Accent 6"/>
    <w:basedOn w:val="89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Grid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Grid Accent 1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Grid Accent 2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Grid Accent 3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Grid Accent 4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Grid Accent 5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Grid Accent 6"/>
    <w:basedOn w:val="89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1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1 Accent 1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1 Accent 2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1 Accent 3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1 Accent 4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1 Accent 5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1 Accent 6"/>
    <w:basedOn w:val="8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2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2 Accent 1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2 Accent 2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2 Accent 3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2 Accent 4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2 Accent 5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2 Accent 6"/>
    <w:basedOn w:val="89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1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1 Accent 1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1 Accent 2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1 Accent 3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1 Accent 4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1 Accent 5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1 Accent 6"/>
    <w:basedOn w:val="89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2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2 Accent 1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2 Accent 2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2 Accent 3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2 Accent 4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2 Accent 5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2 Accent 6"/>
    <w:basedOn w:val="89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1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1 Accent 1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1 Accent 2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1 Accent 3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1 Accent 4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1 Accent 5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1 Accent 6"/>
    <w:basedOn w:val="89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2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2 Accent 1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2 Accent 2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2 Accent 3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2 Accent 4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2 Accent 5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2 Accent 6"/>
    <w:basedOn w:val="89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3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3 Accent 1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3 Accent 2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3 Accent 3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3 Accent 4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3 Accent 5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3 Accent 6"/>
    <w:basedOn w:val="89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Dark List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Dark List Accent 1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Dark List Accent 2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Dark List Accent 3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Dark List Accent 4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Dark List Accent 5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Dark List Accent 6"/>
    <w:basedOn w:val="89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Shading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Shading Accent 1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Shading Accent 2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Shading Accent 3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Shading Accent 4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Shading Accent 5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Shading Accent 6"/>
    <w:basedOn w:val="89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List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List Accent 1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List Accent 2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List Accent 3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List Accent 4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List Accent 5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List Accent 6"/>
    <w:basedOn w:val="89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Grid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Grid Accent 1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Grid Accent 2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Grid Accent 3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Grid Accent 4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Grid Accent 5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Grid Accent 6"/>
    <w:basedOn w:val="89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Frederic Macabiau</cp:lastModifiedBy>
  <cp:revision>9</cp:revision>
  <dcterms:created xsi:type="dcterms:W3CDTF">2013-12-23T23:15:00Z</dcterms:created>
  <dcterms:modified xsi:type="dcterms:W3CDTF">2026-02-15T11:00:55Z</dcterms:modified>
  <cp:category/>
</cp:coreProperties>
</file>