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w:hAnsi="Aptos"/>
          <w:b/>
          <w:i w:val="0"/>
          <w:color w:val="1F4E79"/>
          <w:sz w:val="40"/>
        </w:rPr>
        <w:t>Problématique - MyMemoMaster</w:t>
      </w:r>
    </w:p>
    <w:p>
      <w:pPr>
        <w:spacing w:after="200"/>
        <w:jc w:val="center"/>
      </w:pPr>
      <w:r>
        <w:rPr>
          <w:rFonts w:ascii="Aptos" w:hAnsi="Aptos"/>
          <w:b w:val="0"/>
          <w:i w:val="0"/>
          <w:color w:val="5B6B7A"/>
          <w:sz w:val="22"/>
        </w:rPr>
        <w:t>Livrable de cadrage</w:t>
      </w:r>
    </w:p>
    <w:tbl>
      <w:tblPr>
        <w:tblStyle w:val="TableGrid"/>
        <w:tblW w:type="auto" w:w="0"/>
        <w:jc w:val="center"/>
        <w:tblLook w:firstColumn="1" w:firstRow="1" w:lastColumn="0" w:lastRow="0" w:noHBand="0" w:noVBand="1" w:val="04A0"/>
      </w:tblPr>
      <w:tblGrid>
        <w:gridCol w:w="4986"/>
        <w:gridCol w:w="4986"/>
      </w:tblGrid>
      <w:tr>
        <w:tc>
          <w:tcPr>
            <w:tcW w:type="dxa" w:w="2381"/>
            <w:vAlign w:val="center"/>
            <w:tcMar>
              <w:top w:w="80" w:type="dxa"/>
              <w:start w:w="110" w:type="dxa"/>
              <w:bottom w:w="80" w:type="dxa"/>
              <w:end w:w="110" w:type="dxa"/>
            </w:tcMar>
            <w:shd w:fill="EAF2F8"/>
          </w:tcPr>
          <w:p>
            <w:pPr>
              <w:jc w:val="left"/>
            </w:pPr>
            <w:r>
              <w:rPr>
                <w:rFonts w:ascii="Aptos" w:hAnsi="Aptos"/>
                <w:b/>
                <w:sz w:val="20"/>
              </w:rPr>
              <w:t>Projet</w:t>
            </w:r>
          </w:p>
        </w:tc>
        <w:tc>
          <w:tcPr>
            <w:tcW w:type="dxa" w:w="6690"/>
            <w:vAlign w:val="center"/>
            <w:tcMar>
              <w:top w:w="80" w:type="dxa"/>
              <w:start w:w="110" w:type="dxa"/>
              <w:bottom w:w="80" w:type="dxa"/>
              <w:end w:w="110" w:type="dxa"/>
            </w:tcMar>
          </w:tcPr>
          <w:p>
            <w:r>
              <w:rPr>
                <w:rFonts w:ascii="Aptos" w:hAnsi="Aptos"/>
                <w:sz w:val="20"/>
              </w:rPr>
              <w:t>MyMemoMaster</w:t>
            </w:r>
          </w:p>
        </w:tc>
      </w:tr>
      <w:tr>
        <w:tc>
          <w:tcPr>
            <w:tcW w:type="dxa" w:w="2381"/>
            <w:vAlign w:val="center"/>
            <w:tcMar>
              <w:top w:w="80" w:type="dxa"/>
              <w:start w:w="110" w:type="dxa"/>
              <w:bottom w:w="80" w:type="dxa"/>
              <w:end w:w="110" w:type="dxa"/>
            </w:tcMar>
            <w:shd w:fill="EAF2F8"/>
          </w:tcPr>
          <w:p>
            <w:pPr>
              <w:jc w:val="left"/>
            </w:pPr>
            <w:r>
              <w:rPr>
                <w:rFonts w:ascii="Aptos" w:hAnsi="Aptos"/>
                <w:b/>
                <w:sz w:val="20"/>
              </w:rPr>
              <w:t>Version</w:t>
            </w:r>
          </w:p>
        </w:tc>
        <w:tc>
          <w:tcPr>
            <w:tcW w:type="dxa" w:w="6690"/>
            <w:vAlign w:val="center"/>
            <w:tcMar>
              <w:top w:w="80" w:type="dxa"/>
              <w:start w:w="110" w:type="dxa"/>
              <w:bottom w:w="80" w:type="dxa"/>
              <w:end w:w="110" w:type="dxa"/>
            </w:tcMar>
          </w:tcPr>
          <w:p>
            <w:r>
              <w:rPr>
                <w:rFonts w:ascii="Aptos" w:hAnsi="Aptos"/>
                <w:sz w:val="20"/>
              </w:rPr>
              <w:t>v1.1</w:t>
            </w:r>
          </w:p>
        </w:tc>
      </w:tr>
      <w:tr>
        <w:tc>
          <w:tcPr>
            <w:tcW w:type="dxa" w:w="2381"/>
            <w:vAlign w:val="center"/>
            <w:tcMar>
              <w:top w:w="80" w:type="dxa"/>
              <w:start w:w="110" w:type="dxa"/>
              <w:bottom w:w="80" w:type="dxa"/>
              <w:end w:w="110" w:type="dxa"/>
            </w:tcMar>
            <w:shd w:fill="EAF2F8"/>
          </w:tcPr>
          <w:p>
            <w:pPr>
              <w:jc w:val="left"/>
            </w:pPr>
            <w:r>
              <w:rPr>
                <w:rFonts w:ascii="Aptos" w:hAnsi="Aptos"/>
                <w:b/>
                <w:sz w:val="20"/>
              </w:rPr>
              <w:t>Date</w:t>
            </w:r>
          </w:p>
        </w:tc>
        <w:tc>
          <w:tcPr>
            <w:tcW w:type="dxa" w:w="6690"/>
            <w:vAlign w:val="center"/>
            <w:tcMar>
              <w:top w:w="80" w:type="dxa"/>
              <w:start w:w="110" w:type="dxa"/>
              <w:bottom w:w="80" w:type="dxa"/>
              <w:end w:w="110" w:type="dxa"/>
            </w:tcMar>
          </w:tcPr>
          <w:p>
            <w:r>
              <w:rPr>
                <w:rFonts w:ascii="Aptos" w:hAnsi="Aptos"/>
                <w:sz w:val="20"/>
              </w:rPr>
              <w:t>02/04/2026</w:t>
            </w:r>
          </w:p>
        </w:tc>
      </w:tr>
      <w:tr>
        <w:tc>
          <w:tcPr>
            <w:tcW w:type="dxa" w:w="2381"/>
            <w:vAlign w:val="center"/>
            <w:tcMar>
              <w:top w:w="80" w:type="dxa"/>
              <w:start w:w="110" w:type="dxa"/>
              <w:bottom w:w="80" w:type="dxa"/>
              <w:end w:w="110" w:type="dxa"/>
            </w:tcMar>
            <w:shd w:fill="EAF2F8"/>
          </w:tcPr>
          <w:p>
            <w:pPr>
              <w:jc w:val="left"/>
            </w:pPr>
            <w:r>
              <w:rPr>
                <w:rFonts w:ascii="Aptos" w:hAnsi="Aptos"/>
                <w:b/>
                <w:sz w:val="20"/>
              </w:rPr>
              <w:t>Auteur</w:t>
            </w:r>
          </w:p>
        </w:tc>
        <w:tc>
          <w:tcPr>
            <w:tcW w:type="dxa" w:w="6690"/>
            <w:vAlign w:val="center"/>
            <w:tcMar>
              <w:top w:w="80" w:type="dxa"/>
              <w:start w:w="110" w:type="dxa"/>
              <w:bottom w:w="80" w:type="dxa"/>
              <w:end w:w="110" w:type="dxa"/>
            </w:tcMar>
          </w:tcPr>
          <w:p>
            <w:r>
              <w:rPr>
                <w:rFonts w:ascii="Aptos" w:hAnsi="Aptos"/>
                <w:sz w:val="20"/>
              </w:rPr>
              <w:t>Macabiau Frédéric</w:t>
            </w:r>
          </w:p>
        </w:tc>
      </w:tr>
      <w:tr>
        <w:tc>
          <w:tcPr>
            <w:tcW w:type="dxa" w:w="2381"/>
            <w:vAlign w:val="center"/>
            <w:tcMar>
              <w:top w:w="80" w:type="dxa"/>
              <w:start w:w="110" w:type="dxa"/>
              <w:bottom w:w="80" w:type="dxa"/>
              <w:end w:w="110" w:type="dxa"/>
            </w:tcMar>
            <w:shd w:fill="EAF2F8"/>
          </w:tcPr>
          <w:p>
            <w:pPr>
              <w:jc w:val="left"/>
            </w:pPr>
            <w:r>
              <w:rPr>
                <w:rFonts w:ascii="Aptos" w:hAnsi="Aptos"/>
                <w:b/>
                <w:sz w:val="20"/>
              </w:rPr>
              <w:t>Statut</w:t>
            </w:r>
          </w:p>
        </w:tc>
        <w:tc>
          <w:tcPr>
            <w:tcW w:type="dxa" w:w="6690"/>
            <w:vAlign w:val="center"/>
            <w:tcMar>
              <w:top w:w="80" w:type="dxa"/>
              <w:start w:w="110" w:type="dxa"/>
              <w:bottom w:w="80" w:type="dxa"/>
              <w:end w:w="110" w:type="dxa"/>
            </w:tcMar>
          </w:tcPr>
          <w:p>
            <w:r>
              <w:rPr>
                <w:rFonts w:ascii="Aptos" w:hAnsi="Aptos"/>
                <w:sz w:val="20"/>
              </w:rPr>
              <w:t>En revue</w:t>
            </w:r>
          </w:p>
        </w:tc>
      </w:tr>
      <w:tr>
        <w:tc>
          <w:tcPr>
            <w:tcW w:type="dxa" w:w="2381"/>
            <w:vAlign w:val="center"/>
            <w:tcMar>
              <w:top w:w="80" w:type="dxa"/>
              <w:start w:w="110" w:type="dxa"/>
              <w:bottom w:w="80" w:type="dxa"/>
              <w:end w:w="110" w:type="dxa"/>
            </w:tcMar>
            <w:shd w:fill="EAF2F8"/>
          </w:tcPr>
          <w:p>
            <w:pPr>
              <w:jc w:val="left"/>
            </w:pPr>
            <w:r>
              <w:rPr>
                <w:rFonts w:ascii="Aptos" w:hAnsi="Aptos"/>
                <w:b/>
                <w:sz w:val="20"/>
              </w:rPr>
              <w:t>Référence</w:t>
            </w:r>
          </w:p>
        </w:tc>
        <w:tc>
          <w:tcPr>
            <w:tcW w:type="dxa" w:w="6690"/>
            <w:vAlign w:val="center"/>
            <w:tcMar>
              <w:top w:w="80" w:type="dxa"/>
              <w:start w:w="110" w:type="dxa"/>
              <w:bottom w:w="80" w:type="dxa"/>
              <w:end w:w="110" w:type="dxa"/>
            </w:tcMar>
          </w:tcPr>
          <w:p>
            <w:r>
              <w:rPr>
                <w:rFonts w:ascii="Aptos" w:hAnsi="Aptos"/>
                <w:sz w:val="20"/>
              </w:rPr>
              <w:t>Basé sur l'analyse du besoin mise à jour</w:t>
            </w:r>
          </w:p>
        </w:tc>
      </w:tr>
    </w:tbl>
    <w:p>
      <w:pPr>
        <w:spacing w:after="80" w:before="0" w:line="276" w:lineRule="auto"/>
      </w:pPr>
    </w:p>
    <w:tbl>
      <w:tblPr>
        <w:tblStyle w:val="TableGrid"/>
        <w:tblW w:type="auto" w:w="0"/>
        <w:jc w:val="center"/>
        <w:tblLook w:firstColumn="1" w:firstRow="1" w:lastColumn="0" w:lastRow="0" w:noHBand="0" w:noVBand="1" w:val="04A0"/>
      </w:tblPr>
      <w:tblGrid>
        <w:gridCol w:w="9972"/>
      </w:tblGrid>
      <w:tr>
        <w:tc>
          <w:tcPr>
            <w:tcW w:type="dxa" w:w="9071"/>
            <w:shd w:fill="D9EAF7"/>
          </w:tcPr>
          <w:p>
            <w:r>
              <w:rPr>
                <w:rFonts w:ascii="Aptos" w:hAnsi="Aptos"/>
                <w:b/>
                <w:sz w:val="20"/>
              </w:rPr>
              <w:t>Objectif du document</w:t>
            </w:r>
          </w:p>
        </w:tc>
      </w:tr>
      <w:tr>
        <w:tc>
          <w:tcPr>
            <w:tcW w:type="dxa" w:w="9071"/>
            <w:tcMar>
              <w:top w:w="120" w:type="dxa"/>
              <w:start w:w="120" w:type="dxa"/>
              <w:bottom w:w="120" w:type="dxa"/>
              <w:end w:w="120" w:type="dxa"/>
            </w:tcMar>
          </w:tcPr>
          <w:p>
            <w:r>
              <w:rPr>
                <w:rFonts w:ascii="Aptos" w:hAnsi="Aptos"/>
                <w:sz w:val="20"/>
              </w:rPr>
              <w:t>Formaliser le problème traité par le projet et produire une problématique exploitable pour cadrer la suite des livrables.</w:t>
            </w:r>
          </w:p>
        </w:tc>
      </w:tr>
    </w:tbl>
    <w:p>
      <w:pPr>
        <w:pStyle w:val="Heading1"/>
        <w:keepNext/>
        <w:spacing w:before="240" w:after="80"/>
      </w:pPr>
      <w:r>
        <w:rPr>
          <w:rFonts w:ascii="Aptos" w:hAnsi="Aptos"/>
          <w:b/>
          <w:i w:val="0"/>
          <w:color w:val="1F4E79"/>
          <w:sz w:val="28"/>
        </w:rPr>
        <w:t>1. Rappel du contexte</w:t>
      </w:r>
    </w:p>
    <w:p>
      <w:pPr>
        <w:pStyle w:val="Heading2"/>
        <w:keepNext/>
        <w:spacing w:before="160" w:after="80"/>
      </w:pPr>
      <w:r>
        <w:rPr>
          <w:rFonts w:ascii="Aptos" w:hAnsi="Aptos"/>
          <w:b/>
          <w:i w:val="0"/>
          <w:color w:val="365F91"/>
          <w:sz w:val="23"/>
        </w:rPr>
        <w:t>1.1 Contexte synthétique</w:t>
      </w:r>
    </w:p>
    <w:tbl>
      <w:tblPr>
        <w:tblStyle w:val="TableGrid"/>
        <w:tblW w:type="auto" w:w="0"/>
        <w:jc w:val="center"/>
        <w:tblLook w:firstColumn="1" w:firstRow="1" w:lastColumn="0" w:lastRow="0" w:noHBand="0" w:noVBand="1" w:val="04A0"/>
      </w:tblPr>
      <w:tblGrid>
        <w:gridCol w:w="4986"/>
        <w:gridCol w:w="4986"/>
      </w:tblGrid>
      <w:tr>
        <w:tc>
          <w:tcPr>
            <w:tcW w:type="dxa" w:w="2268"/>
            <w:vAlign w:val="center"/>
            <w:tcMar>
              <w:top w:w="80" w:type="dxa"/>
              <w:start w:w="110" w:type="dxa"/>
              <w:bottom w:w="80" w:type="dxa"/>
              <w:end w:w="110" w:type="dxa"/>
            </w:tcMar>
            <w:shd w:fill="EAF2F8"/>
          </w:tcPr>
          <w:p>
            <w:pPr>
              <w:jc w:val="center"/>
            </w:pPr>
            <w:r>
              <w:rPr>
                <w:rFonts w:ascii="Aptos" w:hAnsi="Aptos"/>
                <w:b/>
                <w:sz w:val="19"/>
              </w:rPr>
              <w:t>Domaine</w:t>
            </w:r>
          </w:p>
        </w:tc>
        <w:tc>
          <w:tcPr>
            <w:tcW w:type="dxa" w:w="6803"/>
            <w:vAlign w:val="center"/>
            <w:tcMar>
              <w:top w:w="80" w:type="dxa"/>
              <w:start w:w="110" w:type="dxa"/>
              <w:bottom w:w="80" w:type="dxa"/>
              <w:end w:w="110" w:type="dxa"/>
            </w:tcMar>
            <w:shd w:fill="EAF2F8"/>
          </w:tcPr>
          <w:p>
            <w:pPr>
              <w:jc w:val="center"/>
            </w:pPr>
            <w:r>
              <w:rPr>
                <w:rFonts w:ascii="Aptos" w:hAnsi="Aptos"/>
                <w:b/>
                <w:sz w:val="19"/>
              </w:rPr>
              <w:t>Application web éducative de révision, d'organisation et de suivi pédagogique.</w:t>
            </w:r>
          </w:p>
        </w:tc>
      </w:tr>
      <w:tr>
        <w:tc>
          <w:tcPr>
            <w:tcW w:type="dxa" w:w="2268"/>
            <w:vAlign w:val="center"/>
            <w:tcMar>
              <w:top w:w="80" w:type="dxa"/>
              <w:start w:w="110" w:type="dxa"/>
              <w:bottom w:w="80" w:type="dxa"/>
              <w:end w:w="110" w:type="dxa"/>
            </w:tcMar>
            <w:shd w:fill="F3F8FB"/>
          </w:tcPr>
          <w:p>
            <w:r>
              <w:rPr>
                <w:rFonts w:ascii="Aptos" w:hAnsi="Aptos"/>
                <w:sz w:val="19"/>
              </w:rPr>
              <w:t>Public cible</w:t>
            </w:r>
          </w:p>
        </w:tc>
        <w:tc>
          <w:tcPr>
            <w:tcW w:type="dxa" w:w="6803"/>
            <w:vAlign w:val="center"/>
            <w:tcMar>
              <w:top w:w="80" w:type="dxa"/>
              <w:start w:w="110" w:type="dxa"/>
              <w:bottom w:w="80" w:type="dxa"/>
              <w:end w:w="110" w:type="dxa"/>
            </w:tcMar>
          </w:tcPr>
          <w:p>
            <w:r>
              <w:rPr>
                <w:rFonts w:ascii="Aptos" w:hAnsi="Aptos"/>
                <w:sz w:val="19"/>
              </w:rPr>
              <w:t>Étudiants post-bac, enseignants ; à terme, administrateurs d'établissement.</w:t>
            </w:r>
          </w:p>
        </w:tc>
      </w:tr>
      <w:tr>
        <w:tc>
          <w:tcPr>
            <w:tcW w:type="dxa" w:w="2268"/>
            <w:vAlign w:val="center"/>
            <w:tcMar>
              <w:top w:w="80" w:type="dxa"/>
              <w:start w:w="110" w:type="dxa"/>
              <w:bottom w:w="80" w:type="dxa"/>
              <w:end w:w="110" w:type="dxa"/>
            </w:tcMar>
            <w:shd w:fill="F3F8FB"/>
          </w:tcPr>
          <w:p>
            <w:r>
              <w:rPr>
                <w:rFonts w:ascii="Aptos" w:hAnsi="Aptos"/>
                <w:sz w:val="19"/>
              </w:rPr>
              <w:t>Cadre d'utilisation</w:t>
            </w:r>
          </w:p>
        </w:tc>
        <w:tc>
          <w:tcPr>
            <w:tcW w:type="dxa" w:w="6803"/>
            <w:vAlign w:val="center"/>
            <w:tcMar>
              <w:top w:w="80" w:type="dxa"/>
              <w:start w:w="110" w:type="dxa"/>
              <w:bottom w:w="80" w:type="dxa"/>
              <w:end w:w="110" w:type="dxa"/>
            </w:tcMar>
          </w:tcPr>
          <w:p>
            <w:r>
              <w:rPr>
                <w:rFonts w:ascii="Aptos" w:hAnsi="Aptos"/>
                <w:sz w:val="19"/>
              </w:rPr>
              <w:t>Usage régulier hors cours, en préparation des DS, partiels, concours et devoirs. Côté enseignant, usage pour créer des exercices, suivre des KPI et diffuser des échéances.</w:t>
            </w:r>
          </w:p>
        </w:tc>
      </w:tr>
    </w:tbl>
    <w:p>
      <w:pPr>
        <w:pStyle w:val="Heading1"/>
        <w:keepNext/>
        <w:spacing w:before="240" w:after="80"/>
      </w:pPr>
      <w:r>
        <w:rPr>
          <w:rFonts w:ascii="Aptos" w:hAnsi="Aptos"/>
          <w:b/>
          <w:i w:val="0"/>
          <w:color w:val="1F4E79"/>
          <w:sz w:val="28"/>
        </w:rPr>
        <w:t>2. Problème identifié</w:t>
      </w:r>
    </w:p>
    <w:p>
      <w:pPr>
        <w:pStyle w:val="Heading2"/>
        <w:keepNext/>
        <w:spacing w:before="160" w:after="80"/>
      </w:pPr>
      <w:r>
        <w:rPr>
          <w:rFonts w:ascii="Aptos" w:hAnsi="Aptos"/>
          <w:b/>
          <w:i w:val="0"/>
          <w:color w:val="365F91"/>
          <w:sz w:val="23"/>
        </w:rPr>
        <w:t>2.1 Problème principal</w:t>
      </w:r>
    </w:p>
    <w:p>
      <w:pPr>
        <w:spacing w:after="80" w:before="0" w:line="276" w:lineRule="auto"/>
      </w:pPr>
      <w:r>
        <w:rPr>
          <w:rFonts w:ascii="Aptos" w:hAnsi="Aptos"/>
          <w:b w:val="0"/>
          <w:i w:val="0"/>
          <w:sz w:val="21"/>
        </w:rPr>
        <w:t>Beaucoup d'étudiants utilisent encore des méthodes passives ou irrégulières, ce qui réduit l'efficacité de la mémorisation à long terme, augmente la charge mentale et nuit à la qualité de l'organisation des révisions.</w:t>
      </w:r>
    </w:p>
    <w:p>
      <w:pPr>
        <w:pStyle w:val="Heading2"/>
        <w:keepNext/>
        <w:spacing w:before="160" w:after="80"/>
      </w:pPr>
      <w:r>
        <w:rPr>
          <w:rFonts w:ascii="Aptos" w:hAnsi="Aptos"/>
          <w:b/>
          <w:i w:val="0"/>
          <w:color w:val="365F91"/>
          <w:sz w:val="23"/>
        </w:rPr>
        <w:t>2.2 Problèmes secondaires</w:t>
      </w:r>
    </w:p>
    <w:p>
      <w:pPr>
        <w:pStyle w:val="ListBullet"/>
        <w:spacing w:after="40" w:line="264" w:lineRule="auto"/>
        <w:ind w:left="170"/>
      </w:pPr>
      <w:r>
        <w:rPr>
          <w:rFonts w:ascii="Aptos" w:hAnsi="Aptos"/>
          <w:b w:val="0"/>
          <w:i w:val="0"/>
          <w:sz w:val="21"/>
        </w:rPr>
        <w:t>Les enseignants disposent de peu de visibilité sur le travail personnel et la progression réelle des étudiants hors cours.</w:t>
      </w:r>
    </w:p>
    <w:p>
      <w:pPr>
        <w:pStyle w:val="ListBullet"/>
        <w:spacing w:after="40" w:line="264" w:lineRule="auto"/>
        <w:ind w:left="170"/>
      </w:pPr>
      <w:r>
        <w:rPr>
          <w:rFonts w:ascii="Aptos" w:hAnsi="Aptos"/>
          <w:b w:val="0"/>
          <w:i w:val="0"/>
          <w:sz w:val="21"/>
        </w:rPr>
        <w:t>Les ressources, consignes, échéances et outils sont souvent dispersés entre LMS, mails, ENT et applications séparées.</w:t>
      </w:r>
    </w:p>
    <w:p>
      <w:pPr>
        <w:pStyle w:val="Heading1"/>
        <w:keepNext/>
        <w:spacing w:before="240" w:after="80"/>
      </w:pPr>
      <w:r>
        <w:rPr>
          <w:rFonts w:ascii="Aptos" w:hAnsi="Aptos"/>
          <w:b/>
          <w:i w:val="0"/>
          <w:color w:val="1F4E79"/>
          <w:sz w:val="28"/>
        </w:rPr>
        <w:t>3. Enjeux liés au problème</w:t>
      </w:r>
    </w:p>
    <w:p>
      <w:pPr>
        <w:pStyle w:val="Heading2"/>
        <w:keepNext/>
        <w:spacing w:before="160" w:after="80"/>
      </w:pPr>
      <w:r>
        <w:rPr>
          <w:rFonts w:ascii="Aptos" w:hAnsi="Aptos"/>
          <w:b/>
          <w:i w:val="0"/>
          <w:color w:val="365F91"/>
          <w:sz w:val="23"/>
        </w:rPr>
        <w:t>3.1 Enjeux pour les utilisateurs</w:t>
      </w:r>
    </w:p>
    <w:p>
      <w:pPr>
        <w:pStyle w:val="ListBullet"/>
        <w:spacing w:after="40" w:line="264" w:lineRule="auto"/>
        <w:ind w:left="170"/>
      </w:pPr>
      <w:r>
        <w:rPr>
          <w:rFonts w:ascii="Aptos" w:hAnsi="Aptos"/>
          <w:b w:val="0"/>
          <w:i w:val="0"/>
          <w:sz w:val="21"/>
        </w:rPr>
        <w:t>Améliorer la réussite, la régularité et la qualité des apprentissages.</w:t>
      </w:r>
    </w:p>
    <w:p>
      <w:pPr>
        <w:pStyle w:val="ListBullet"/>
        <w:spacing w:after="40" w:line="264" w:lineRule="auto"/>
        <w:ind w:left="170"/>
      </w:pPr>
      <w:r>
        <w:rPr>
          <w:rFonts w:ascii="Aptos" w:hAnsi="Aptos"/>
          <w:b w:val="0"/>
          <w:i w:val="0"/>
          <w:sz w:val="21"/>
        </w:rPr>
        <w:t>Réduire la charge mentale liée à l'organisation et au morcellement des outils.</w:t>
      </w:r>
    </w:p>
    <w:p>
      <w:pPr>
        <w:pStyle w:val="ListBullet"/>
        <w:spacing w:after="40" w:line="264" w:lineRule="auto"/>
        <w:ind w:left="170"/>
      </w:pPr>
      <w:r>
        <w:rPr>
          <w:rFonts w:ascii="Aptos" w:hAnsi="Aptos"/>
          <w:b w:val="0"/>
          <w:i w:val="0"/>
          <w:sz w:val="21"/>
        </w:rPr>
        <w:t>Donner aux enseignants des indicateurs utiles sans alourdir leur charge de travail.</w:t>
      </w:r>
    </w:p>
    <w:p>
      <w:pPr>
        <w:pStyle w:val="Heading2"/>
        <w:keepNext/>
        <w:spacing w:before="160" w:after="80"/>
      </w:pPr>
      <w:r>
        <w:rPr>
          <w:rFonts w:ascii="Aptos" w:hAnsi="Aptos"/>
          <w:b/>
          <w:i w:val="0"/>
          <w:color w:val="365F91"/>
          <w:sz w:val="23"/>
        </w:rPr>
        <w:t>3.2 Enjeux organisationnels / pédagogiques</w:t>
      </w:r>
    </w:p>
    <w:p>
      <w:pPr>
        <w:pStyle w:val="ListBullet"/>
        <w:spacing w:after="40" w:line="264" w:lineRule="auto"/>
        <w:ind w:left="170"/>
      </w:pPr>
      <w:r>
        <w:rPr>
          <w:rFonts w:ascii="Aptos" w:hAnsi="Aptos"/>
          <w:b w:val="0"/>
          <w:i w:val="0"/>
          <w:sz w:val="21"/>
        </w:rPr>
        <w:t>Mieux suivre les étudiants en difficulté.</w:t>
      </w:r>
    </w:p>
    <w:p>
      <w:pPr>
        <w:pStyle w:val="ListBullet"/>
        <w:spacing w:after="40" w:line="264" w:lineRule="auto"/>
        <w:ind w:left="170"/>
      </w:pPr>
      <w:r>
        <w:rPr>
          <w:rFonts w:ascii="Aptos" w:hAnsi="Aptos"/>
          <w:b w:val="0"/>
          <w:i w:val="0"/>
          <w:sz w:val="21"/>
        </w:rPr>
        <w:t>Réduire les oublis, le travail de dernière minute et les relances inutiles.</w:t>
      </w:r>
    </w:p>
    <w:p>
      <w:pPr>
        <w:pStyle w:val="ListBullet"/>
        <w:spacing w:after="40" w:line="264" w:lineRule="auto"/>
        <w:ind w:left="170"/>
      </w:pPr>
      <w:r>
        <w:rPr>
          <w:rFonts w:ascii="Aptos" w:hAnsi="Aptos"/>
          <w:b w:val="0"/>
          <w:i w:val="0"/>
          <w:sz w:val="21"/>
        </w:rPr>
        <w:t>Mieux exploiter les pratiques pédagogiques efficaces dans un cadre numérique utilisable.</w:t>
      </w:r>
    </w:p>
    <w:p>
      <w:pPr>
        <w:pStyle w:val="Heading2"/>
        <w:keepNext/>
        <w:spacing w:before="160" w:after="80"/>
      </w:pPr>
      <w:r>
        <w:rPr>
          <w:rFonts w:ascii="Aptos" w:hAnsi="Aptos"/>
          <w:b/>
          <w:i w:val="0"/>
          <w:color w:val="365F91"/>
          <w:sz w:val="23"/>
        </w:rPr>
        <w:t>3.3 Enjeux à long terme si le problème persiste</w:t>
      </w:r>
    </w:p>
    <w:p>
      <w:pPr>
        <w:spacing w:after="80" w:before="0" w:line="276" w:lineRule="auto"/>
      </w:pPr>
      <w:r>
        <w:rPr>
          <w:rFonts w:ascii="Aptos" w:hAnsi="Aptos"/>
          <w:b w:val="0"/>
          <w:i w:val="0"/>
          <w:sz w:val="21"/>
        </w:rPr>
        <w:t>Si le problème persiste, une part des étudiants continuera à réviser trop tard, à utiliser des méthodes peu efficaces et à accumuler stress, irrégularité et risques d'échec ou de décrochage.</w:t>
      </w:r>
    </w:p>
    <w:p>
      <w:pPr>
        <w:pStyle w:val="Heading1"/>
        <w:keepNext/>
        <w:spacing w:before="240" w:after="80"/>
      </w:pPr>
      <w:r>
        <w:rPr>
          <w:rFonts w:ascii="Aptos" w:hAnsi="Aptos"/>
          <w:b/>
          <w:i w:val="0"/>
          <w:color w:val="1F4E79"/>
          <w:sz w:val="28"/>
        </w:rPr>
        <w:t>4. Formulation de la problématique</w:t>
      </w:r>
    </w:p>
    <w:p>
      <w:pPr>
        <w:pStyle w:val="Heading2"/>
        <w:keepNext/>
        <w:spacing w:before="160" w:after="80"/>
      </w:pPr>
      <w:r>
        <w:rPr>
          <w:rFonts w:ascii="Aptos" w:hAnsi="Aptos"/>
          <w:b/>
          <w:i w:val="0"/>
          <w:color w:val="365F91"/>
          <w:sz w:val="23"/>
        </w:rPr>
        <w:t>4.1 Problématique centrale</w:t>
      </w:r>
    </w:p>
    <w:p>
      <w:pPr>
        <w:spacing w:after="80" w:before="0" w:line="276" w:lineRule="auto"/>
      </w:pPr>
      <w:r>
        <w:rPr>
          <w:rFonts w:ascii="Aptos" w:hAnsi="Aptos"/>
          <w:b w:val="0"/>
          <w:i/>
          <w:color w:val="365F91"/>
          <w:sz w:val="22"/>
        </w:rPr>
        <w:t>Comment permettre à des étudiants post-bac de réviser plus efficacement et de mieux s'organiser, tout en donnant aux enseignants une meilleure visibilité sur la progression, dans un contexte où les outils sont dispersés et les méthodes de travail souvent peu optimales ?</w:t>
      </w:r>
    </w:p>
    <w:p>
      <w:pPr>
        <w:pStyle w:val="Heading2"/>
        <w:keepNext/>
        <w:spacing w:before="160" w:after="80"/>
      </w:pPr>
      <w:r>
        <w:rPr>
          <w:rFonts w:ascii="Aptos" w:hAnsi="Aptos"/>
          <w:b/>
          <w:i w:val="0"/>
          <w:color w:val="365F91"/>
          <w:sz w:val="23"/>
        </w:rPr>
        <w:t>4.2 Vérification de la problématique</w:t>
      </w:r>
    </w:p>
    <w:p>
      <w:pPr>
        <w:pStyle w:val="ListBullet"/>
        <w:spacing w:after="40" w:line="264" w:lineRule="auto"/>
        <w:ind w:left="170"/>
      </w:pPr>
      <w:r>
        <w:rPr>
          <w:rFonts w:ascii="Aptos" w:hAnsi="Aptos"/>
          <w:b w:val="0"/>
          <w:i w:val="0"/>
          <w:sz w:val="21"/>
        </w:rPr>
        <w:t>Elle découle du besoin principal identifié.</w:t>
      </w:r>
    </w:p>
    <w:p>
      <w:pPr>
        <w:pStyle w:val="ListBullet"/>
        <w:spacing w:after="40" w:line="264" w:lineRule="auto"/>
        <w:ind w:left="170"/>
      </w:pPr>
      <w:r>
        <w:rPr>
          <w:rFonts w:ascii="Aptos" w:hAnsi="Aptos"/>
          <w:b w:val="0"/>
          <w:i w:val="0"/>
          <w:sz w:val="21"/>
        </w:rPr>
        <w:t>Elle reste compréhensible sans imposer de solution technique précise.</w:t>
      </w:r>
    </w:p>
    <w:p>
      <w:pPr>
        <w:pStyle w:val="ListBullet"/>
        <w:spacing w:after="40" w:line="264" w:lineRule="auto"/>
        <w:ind w:left="170"/>
      </w:pPr>
      <w:r>
        <w:rPr>
          <w:rFonts w:ascii="Aptos" w:hAnsi="Aptos"/>
          <w:b w:val="0"/>
          <w:i w:val="0"/>
          <w:sz w:val="21"/>
        </w:rPr>
        <w:t>Elle ouvre plusieurs pistes de réponse produit, technique et organisationnelle.</w:t>
      </w:r>
    </w:p>
    <w:p>
      <w:pPr>
        <w:pStyle w:val="Heading1"/>
        <w:keepNext/>
        <w:spacing w:before="240" w:after="80"/>
      </w:pPr>
      <w:r>
        <w:rPr>
          <w:rFonts w:ascii="Aptos" w:hAnsi="Aptos"/>
          <w:b/>
          <w:i w:val="0"/>
          <w:color w:val="1F4E79"/>
          <w:sz w:val="28"/>
        </w:rPr>
        <w:t>5. Synthèse Problème / Besoin / Problématique</w:t>
      </w:r>
    </w:p>
    <w:tbl>
      <w:tblPr>
        <w:tblStyle w:val="TableGrid"/>
        <w:tblW w:type="auto" w:w="0"/>
        <w:jc w:val="center"/>
        <w:tblLook w:firstColumn="1" w:firstRow="1" w:lastColumn="0" w:lastRow="0" w:noHBand="0" w:noVBand="1" w:val="04A0"/>
      </w:tblPr>
      <w:tblGrid>
        <w:gridCol w:w="4986"/>
        <w:gridCol w:w="4986"/>
      </w:tblGrid>
      <w:tr>
        <w:tc>
          <w:tcPr>
            <w:tcW w:type="dxa" w:w="2381"/>
            <w:vAlign w:val="center"/>
            <w:tcMar>
              <w:top w:w="80" w:type="dxa"/>
              <w:start w:w="110" w:type="dxa"/>
              <w:bottom w:w="80" w:type="dxa"/>
              <w:end w:w="110" w:type="dxa"/>
            </w:tcMar>
            <w:shd w:fill="DCE6F1"/>
          </w:tcPr>
          <w:p>
            <w:pPr>
              <w:jc w:val="center"/>
            </w:pPr>
            <w:r>
              <w:rPr>
                <w:rFonts w:ascii="Aptos" w:hAnsi="Aptos"/>
                <w:b/>
                <w:sz w:val="18"/>
              </w:rPr>
              <w:t>Élément</w:t>
            </w:r>
          </w:p>
        </w:tc>
        <w:tc>
          <w:tcPr>
            <w:tcW w:type="dxa" w:w="6690"/>
            <w:vAlign w:val="center"/>
            <w:tcMar>
              <w:top w:w="80" w:type="dxa"/>
              <w:start w:w="110" w:type="dxa"/>
              <w:bottom w:w="80" w:type="dxa"/>
              <w:end w:w="110" w:type="dxa"/>
            </w:tcMar>
            <w:shd w:fill="DCE6F1"/>
          </w:tcPr>
          <w:p>
            <w:pPr>
              <w:jc w:val="center"/>
            </w:pPr>
            <w:r>
              <w:rPr>
                <w:rFonts w:ascii="Aptos" w:hAnsi="Aptos"/>
                <w:b/>
                <w:sz w:val="18"/>
              </w:rPr>
              <w:t>Formulation</w:t>
            </w:r>
          </w:p>
        </w:tc>
      </w:tr>
      <w:tr>
        <w:tc>
          <w:tcPr>
            <w:tcW w:type="dxa" w:w="2381"/>
            <w:vAlign w:val="center"/>
            <w:tcMar>
              <w:top w:w="80" w:type="dxa"/>
              <w:start w:w="110" w:type="dxa"/>
              <w:bottom w:w="80" w:type="dxa"/>
              <w:end w:w="110" w:type="dxa"/>
            </w:tcMar>
            <w:shd w:fill="F9FBFD"/>
            <w:shd w:fill="EEF5FA"/>
          </w:tcPr>
          <w:p>
            <w:r>
              <w:rPr>
                <w:rFonts w:ascii="Aptos" w:hAnsi="Aptos"/>
                <w:sz w:val="18"/>
              </w:rPr>
              <w:t>Besoin</w:t>
            </w:r>
          </w:p>
        </w:tc>
        <w:tc>
          <w:tcPr>
            <w:tcW w:type="dxa" w:w="6690"/>
            <w:vAlign w:val="center"/>
            <w:tcMar>
              <w:top w:w="80" w:type="dxa"/>
              <w:start w:w="110" w:type="dxa"/>
              <w:bottom w:w="80" w:type="dxa"/>
              <w:end w:w="110" w:type="dxa"/>
            </w:tcMar>
            <w:shd w:fill="F9FBFD"/>
          </w:tcPr>
          <w:p>
            <w:r>
              <w:rPr>
                <w:rFonts w:ascii="Aptos" w:hAnsi="Aptos"/>
                <w:sz w:val="18"/>
              </w:rPr>
              <w:t>Aider les étudiants à réviser efficacement, à s'organiser et à suivre leur progression dans un cadre simple.</w:t>
            </w:r>
          </w:p>
        </w:tc>
      </w:tr>
      <w:tr>
        <w:tc>
          <w:tcPr>
            <w:tcW w:type="dxa" w:w="2381"/>
            <w:vAlign w:val="center"/>
            <w:tcMar>
              <w:top w:w="80" w:type="dxa"/>
              <w:start w:w="110" w:type="dxa"/>
              <w:bottom w:w="80" w:type="dxa"/>
              <w:end w:w="110" w:type="dxa"/>
            </w:tcMar>
            <w:shd w:fill="EEF5FA"/>
          </w:tcPr>
          <w:p>
            <w:r>
              <w:rPr>
                <w:rFonts w:ascii="Aptos" w:hAnsi="Aptos"/>
                <w:sz w:val="18"/>
              </w:rPr>
              <w:t>Problème</w:t>
            </w:r>
          </w:p>
        </w:tc>
        <w:tc>
          <w:tcPr>
            <w:tcW w:type="dxa" w:w="6690"/>
            <w:vAlign w:val="center"/>
            <w:tcMar>
              <w:top w:w="80" w:type="dxa"/>
              <w:start w:w="110" w:type="dxa"/>
              <w:bottom w:w="80" w:type="dxa"/>
              <w:end w:w="110" w:type="dxa"/>
            </w:tcMar>
          </w:tcPr>
          <w:p>
            <w:r>
              <w:rPr>
                <w:rFonts w:ascii="Aptos" w:hAnsi="Aptos"/>
                <w:sz w:val="18"/>
              </w:rPr>
              <w:t>Méthodes peu efficaces, organisation irrégulière et manque de visibilité sur la progression.</w:t>
            </w:r>
          </w:p>
        </w:tc>
      </w:tr>
      <w:tr>
        <w:tc>
          <w:tcPr>
            <w:tcW w:type="dxa" w:w="2381"/>
            <w:vAlign w:val="center"/>
            <w:tcMar>
              <w:top w:w="80" w:type="dxa"/>
              <w:start w:w="110" w:type="dxa"/>
              <w:bottom w:w="80" w:type="dxa"/>
              <w:end w:w="110" w:type="dxa"/>
            </w:tcMar>
            <w:shd w:fill="F9FBFD"/>
            <w:shd w:fill="EEF5FA"/>
          </w:tcPr>
          <w:p>
            <w:r>
              <w:rPr>
                <w:rFonts w:ascii="Aptos" w:hAnsi="Aptos"/>
                <w:sz w:val="18"/>
              </w:rPr>
              <w:t>Problématique</w:t>
            </w:r>
          </w:p>
        </w:tc>
        <w:tc>
          <w:tcPr>
            <w:tcW w:type="dxa" w:w="6690"/>
            <w:vAlign w:val="center"/>
            <w:tcMar>
              <w:top w:w="80" w:type="dxa"/>
              <w:start w:w="110" w:type="dxa"/>
              <w:bottom w:w="80" w:type="dxa"/>
              <w:end w:w="110" w:type="dxa"/>
            </w:tcMar>
            <w:shd w:fill="F9FBFD"/>
          </w:tcPr>
          <w:p>
            <w:r>
              <w:rPr>
                <w:rFonts w:ascii="Aptos" w:hAnsi="Aptos"/>
                <w:sz w:val="18"/>
              </w:rPr>
              <w:t>Comment permettre à des étudiants post-bac de réviser plus efficacement et de mieux s'organiser, tout en donnant aux enseignants une meilleure visibilité sur la progression, dans un contexte où les outils sont dispersés et les méthodes de travail souvent peu optimales ?</w:t>
            </w:r>
          </w:p>
        </w:tc>
      </w:tr>
    </w:tbl>
    <w:sectPr w:rsidR="00FC693F" w:rsidRPr="0006063C" w:rsidSect="00034616">
      <w:footerReference w:type="default" r:id="rId9"/>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7F8C8D"/>
        <w:sz w:val="16"/>
      </w:rPr>
      <w:t>MyMemoMaster - livrable de cadrage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