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5.png" ContentType="image/png"/>
  <Override PartName="/word/media/image4.png" ContentType="image/png"/>
  <Override PartName="/word/media/image3.jpeg" ContentType="image/jpeg"/>
  <Override PartName="/word/media/image2.png" ContentType="image/png"/>
  <Override PartName="/word/media/image6.png" ContentType="image/png"/>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29"/>
        <w:spacing w:after="120" w:before="240"/>
        <w:contextualSpacing w:val="false"/>
      </w:pPr>
      <w:r>
        <w:rPr/>
      </w:r>
    </w:p>
    <w:p>
      <w:pPr>
        <w:pStyle w:val="style29"/>
      </w:pPr>
      <w:r>
        <w:rPr/>
      </w:r>
    </w:p>
    <w:p>
      <w:pPr>
        <w:pStyle w:val="style29"/>
      </w:pPr>
      <w:r>
        <w:rPr>
          <w:caps/>
          <w:color w:val="000000"/>
          <w:sz w:val="28"/>
          <w:szCs w:val="28"/>
        </w:rPr>
        <w:t>CCMX FORM 7 - FINAL SCIENTIFIC report</w:t>
      </w:r>
    </w:p>
    <w:p>
      <w:pPr>
        <w:pStyle w:val="style29"/>
      </w:pPr>
      <w:r>
        <w:rPr>
          <w:caps/>
          <w:color w:val="000000"/>
          <w:sz w:val="28"/>
          <w:szCs w:val="28"/>
        </w:rPr>
        <w:t>Anayltical Platform project</w:t>
      </w:r>
    </w:p>
    <w:p>
      <w:pPr>
        <w:pStyle w:val="style0"/>
        <w:jc w:val="center"/>
      </w:pPr>
      <w:r>
        <w:rPr/>
      </w:r>
    </w:p>
    <w:p>
      <w:pPr>
        <w:pStyle w:val="style0"/>
        <w:spacing w:after="0" w:before="120"/>
        <w:ind w:hanging="0" w:left="360" w:right="0"/>
        <w:contextualSpacing w:val="false"/>
      </w:pPr>
      <w:r>
        <w:rPr>
          <w:rFonts w:ascii="Arial" w:cs="Arial" w:hAnsi="Arial"/>
          <w:color w:val="000000"/>
          <w:sz w:val="20"/>
          <w:szCs w:val="20"/>
          <w:lang w:val="en-GB"/>
        </w:rPr>
        <w:t xml:space="preserve">This report should be sent by e-mail in both Word and pdf fomats to </w:t>
      </w:r>
      <w:hyperlink r:id="rId2">
        <w:r>
          <w:rPr>
            <w:rStyle w:val="style23"/>
            <w:rStyle w:val="style23"/>
            <w:rFonts w:ascii="Arial" w:cs="Arial" w:hAnsi="Arial"/>
            <w:sz w:val="20"/>
            <w:szCs w:val="20"/>
            <w:lang w:val="en-GB"/>
          </w:rPr>
          <w:t>reporting@ccmx.ch</w:t>
        </w:r>
      </w:hyperlink>
      <w:r>
        <w:rPr>
          <w:rFonts w:ascii="Arial" w:cs="Arial" w:hAnsi="Arial"/>
          <w:color w:val="000000"/>
          <w:sz w:val="20"/>
          <w:szCs w:val="20"/>
          <w:lang w:val="en-GB"/>
        </w:rPr>
        <w:t xml:space="preserve"> </w:t>
      </w:r>
    </w:p>
    <w:p>
      <w:pPr>
        <w:pStyle w:val="style0"/>
        <w:spacing w:after="0" w:before="120"/>
        <w:ind w:hanging="0" w:left="360" w:right="0"/>
        <w:contextualSpacing w:val="false"/>
      </w:pPr>
      <w:r>
        <w:rPr>
          <w:rFonts w:ascii="Arial" w:cs="Arial" w:hAnsi="Arial"/>
          <w:b/>
          <w:sz w:val="20"/>
          <w:szCs w:val="20"/>
          <w:lang w:val="en-GB"/>
        </w:rPr>
        <w:t>within 60 days of the project end date.</w:t>
      </w:r>
    </w:p>
    <w:p>
      <w:pPr>
        <w:pStyle w:val="style0"/>
        <w:spacing w:after="0" w:before="120"/>
        <w:ind w:hanging="0" w:left="360" w:right="0"/>
        <w:contextualSpacing w:val="false"/>
      </w:pPr>
      <w:r>
        <w:rPr/>
      </w:r>
    </w:p>
    <w:p>
      <w:pPr>
        <w:pStyle w:val="style0"/>
        <w:ind w:firstLine="360" w:left="0" w:right="0"/>
      </w:pPr>
      <w:r>
        <w:rPr>
          <w:rFonts w:ascii="Arial" w:cs="Arial" w:hAnsi="Arial"/>
          <w:color w:val="000000"/>
          <w:sz w:val="20"/>
          <w:szCs w:val="20"/>
          <w:lang w:val="en-GB"/>
        </w:rPr>
        <w:t>Scientific reporting questions may be addressed to: nathalie.jongen@epfl.ch</w:t>
      </w:r>
    </w:p>
    <w:p>
      <w:pPr>
        <w:pStyle w:val="style0"/>
      </w:pPr>
      <w:r>
        <w:rPr/>
      </w:r>
    </w:p>
    <w:p>
      <w:pPr>
        <w:pStyle w:val="style0"/>
      </w:pPr>
      <w:r>
        <w:rPr/>
      </w:r>
    </w:p>
    <w:p>
      <w:pPr>
        <w:pStyle w:val="style0"/>
        <w:jc w:val="center"/>
      </w:pPr>
      <w:r>
        <w:rPr/>
      </w:r>
    </w:p>
    <w:p>
      <w:pPr>
        <w:pStyle w:val="style0"/>
        <w:jc w:val="center"/>
      </w:pPr>
      <w:r>
        <w:rPr/>
      </w:r>
    </w:p>
    <w:p>
      <w:pPr>
        <w:pStyle w:val="style0"/>
        <w:jc w:val="center"/>
      </w:pPr>
      <w:r>
        <w:rPr/>
      </w:r>
    </w:p>
    <w:p>
      <w:pPr>
        <w:pStyle w:val="style0"/>
      </w:pPr>
      <w:r>
        <w:rPr>
          <w:rFonts w:ascii="Arial" w:cs="Arial" w:hAnsi="Arial"/>
          <w:color w:val="000000"/>
          <w:sz w:val="20"/>
          <w:szCs w:val="20"/>
          <w:lang w:val="en-GB"/>
        </w:rPr>
        <w:br/>
      </w:r>
    </w:p>
    <w:tbl>
      <w:tblPr>
        <w:jc w:val="left"/>
        <w:tblInd w:type="dxa" w:w="103"/>
        <w:tblBorders>
          <w:top w:color="000001" w:space="0" w:sz="4" w:val="single"/>
          <w:left w:color="000001" w:space="0" w:sz="4" w:val="single"/>
          <w:bottom w:color="000001" w:space="0" w:sz="4" w:val="single"/>
          <w:insideH w:color="000001" w:space="0" w:sz="4" w:val="single"/>
          <w:right w:val="none"/>
          <w:insideV w:val="none"/>
        </w:tblBorders>
        <w:tblCellMar>
          <w:top w:type="dxa" w:w="0"/>
          <w:left w:type="dxa" w:w="98"/>
          <w:bottom w:type="dxa" w:w="0"/>
          <w:right w:type="dxa" w:w="108"/>
        </w:tblCellMar>
      </w:tblPr>
      <w:tblGrid>
        <w:gridCol w:w="2994"/>
        <w:gridCol w:w="6184"/>
      </w:tblGrid>
      <w:tr>
        <w:trPr>
          <w:trHeight w:hRule="exact" w:val="340"/>
          <w:cantSplit w:val="false"/>
        </w:trPr>
        <w:tc>
          <w:tcPr>
            <w:tcW w:type="dxa" w:w="2994"/>
            <w:tcBorders>
              <w:top w:color="000001" w:space="0" w:sz="4" w:val="single"/>
              <w:left w:color="000001" w:space="0" w:sz="4" w:val="single"/>
              <w:bottom w:color="000001" w:space="0" w:sz="4" w:val="single"/>
              <w:right w:val="none"/>
            </w:tcBorders>
            <w:shd w:fill="FFFFFF" w:val="clear"/>
            <w:tcMar>
              <w:left w:type="dxa" w:w="98"/>
            </w:tcMar>
            <w:vAlign w:val="center"/>
          </w:tcPr>
          <w:p>
            <w:pPr>
              <w:pStyle w:val="style0"/>
              <w:pBdr>
                <w:top w:val="none"/>
                <w:left w:val="none"/>
                <w:bottom w:val="none"/>
                <w:insideH w:val="none"/>
                <w:right w:val="none"/>
                <w:insideV w:val="none"/>
              </w:pBdr>
              <w:shd w:fill="FFFFFF" w:val="clear"/>
            </w:pPr>
            <w:r>
              <w:rPr>
                <w:color w:val="000000"/>
                <w:sz w:val="20"/>
                <w:szCs w:val="20"/>
              </w:rPr>
              <w:t>Platform</w:t>
            </w:r>
          </w:p>
        </w:tc>
        <w:tc>
          <w:tcPr>
            <w:tcW w:type="dxa" w:w="6184"/>
            <w:tcBorders>
              <w:top w:color="000001" w:space="0" w:sz="4" w:val="single"/>
              <w:left w:color="000001" w:space="0" w:sz="4" w:val="single"/>
              <w:bottom w:color="000001" w:space="0" w:sz="4" w:val="single"/>
              <w:right w:color="000001" w:space="0" w:sz="4" w:val="single"/>
            </w:tcBorders>
            <w:shd w:fill="FFFFFF" w:val="clear"/>
            <w:tcMar>
              <w:left w:type="dxa" w:w="98"/>
            </w:tcMar>
            <w:vAlign w:val="center"/>
          </w:tcPr>
          <w:p>
            <w:pPr>
              <w:pStyle w:val="style0"/>
              <w:pBdr>
                <w:top w:val="none"/>
                <w:left w:val="none"/>
                <w:bottom w:val="none"/>
                <w:insideH w:val="none"/>
                <w:right w:val="none"/>
                <w:insideV w:val="none"/>
              </w:pBdr>
              <w:shd w:fill="FFFFFF" w:val="clear"/>
            </w:pPr>
            <w:r>
              <w:rPr>
                <w:rFonts w:ascii="Arial" w:cs="Arial" w:hAnsi="Arial"/>
                <w:color w:val="000000"/>
                <w:sz w:val="20"/>
                <w:szCs w:val="20"/>
                <w:lang w:val="en-GB"/>
              </w:rPr>
              <w:t>[X] NMMC</w:t>
            </w:r>
          </w:p>
        </w:tc>
      </w:tr>
      <w:tr>
        <w:trPr>
          <w:trHeight w:hRule="atLeast" w:val="340"/>
          <w:cantSplit w:val="false"/>
        </w:trPr>
        <w:tc>
          <w:tcPr>
            <w:tcW w:type="dxa" w:w="2994"/>
            <w:tcBorders>
              <w:top w:color="000001" w:space="0" w:sz="4" w:val="single"/>
              <w:left w:color="000001" w:space="0" w:sz="4" w:val="single"/>
              <w:bottom w:color="000001" w:space="0" w:sz="4" w:val="single"/>
              <w:right w:val="none"/>
            </w:tcBorders>
            <w:shd w:fill="C0C0C0" w:val="clear"/>
            <w:tcMar>
              <w:left w:type="dxa" w:w="98"/>
            </w:tcMar>
            <w:vAlign w:val="center"/>
          </w:tcPr>
          <w:p>
            <w:pPr>
              <w:pStyle w:val="style0"/>
              <w:pBdr>
                <w:top w:val="none"/>
                <w:left w:val="none"/>
                <w:bottom w:val="none"/>
                <w:insideH w:val="none"/>
                <w:right w:val="none"/>
                <w:insideV w:val="none"/>
              </w:pBdr>
              <w:shd w:fill="FFFFFF" w:val="clear"/>
            </w:pPr>
            <w:r>
              <w:rPr>
                <w:rFonts w:ascii="Arial" w:cs="Arial" w:hAnsi="Arial"/>
                <w:b/>
                <w:color w:val="000000"/>
                <w:sz w:val="20"/>
                <w:szCs w:val="20"/>
                <w:lang w:val="en-GB"/>
              </w:rPr>
              <w:t>Project title</w:t>
            </w:r>
          </w:p>
        </w:tc>
        <w:tc>
          <w:tcPr>
            <w:tcW w:type="dxa" w:w="6184"/>
            <w:tcBorders>
              <w:top w:color="000001" w:space="0" w:sz="4" w:val="single"/>
              <w:left w:color="000001" w:space="0" w:sz="4" w:val="single"/>
              <w:bottom w:color="000001" w:space="0" w:sz="4" w:val="single"/>
              <w:right w:color="000001" w:space="0" w:sz="4" w:val="single"/>
            </w:tcBorders>
            <w:shd w:fill="C0C0C0" w:val="clear"/>
            <w:tcMar>
              <w:left w:type="dxa" w:w="98"/>
            </w:tcMar>
            <w:vAlign w:val="center"/>
          </w:tcPr>
          <w:p>
            <w:pPr>
              <w:pStyle w:val="style0"/>
              <w:pBdr>
                <w:top w:val="none"/>
                <w:left w:val="none"/>
                <w:bottom w:val="none"/>
                <w:insideH w:val="none"/>
                <w:right w:val="none"/>
                <w:insideV w:val="none"/>
              </w:pBdr>
              <w:shd w:fill="FFFFFF" w:val="clear"/>
            </w:pPr>
            <w:r>
              <w:rPr/>
            </w:r>
          </w:p>
          <w:p>
            <w:pPr>
              <w:pStyle w:val="style0"/>
              <w:pBdr>
                <w:top w:val="none"/>
                <w:left w:val="none"/>
                <w:bottom w:val="none"/>
                <w:insideH w:val="none"/>
                <w:right w:val="none"/>
                <w:insideV w:val="none"/>
              </w:pBdr>
              <w:shd w:fill="FFFFFF" w:val="clear"/>
            </w:pPr>
            <w:r>
              <w:rPr>
                <w:rFonts w:ascii="Arial" w:cs="Arial" w:hAnsi="Arial"/>
                <w:b/>
                <w:color w:val="000000"/>
                <w:sz w:val="20"/>
                <w:szCs w:val="20"/>
                <w:lang w:val="en-GB"/>
              </w:rPr>
              <w:t>Gantry-based X-ray Phase Contrast Scanner for MicroCT Applications</w:t>
            </w:r>
          </w:p>
          <w:p>
            <w:pPr>
              <w:pStyle w:val="style0"/>
              <w:pBdr>
                <w:top w:val="none"/>
                <w:left w:val="none"/>
                <w:bottom w:val="none"/>
                <w:insideH w:val="none"/>
                <w:right w:val="none"/>
                <w:insideV w:val="none"/>
              </w:pBdr>
              <w:shd w:fill="FFFFFF" w:val="clear"/>
            </w:pPr>
            <w:r>
              <w:rPr/>
            </w:r>
          </w:p>
        </w:tc>
      </w:tr>
      <w:tr>
        <w:trPr>
          <w:trHeight w:hRule="exact" w:val="863"/>
          <w:cantSplit w:val="false"/>
        </w:trPr>
        <w:tc>
          <w:tcPr>
            <w:tcW w:type="dxa" w:w="2994"/>
            <w:tcBorders>
              <w:top w:color="000001" w:space="0" w:sz="4" w:val="single"/>
              <w:left w:color="000001" w:space="0" w:sz="4" w:val="single"/>
              <w:bottom w:color="000001" w:space="0" w:sz="4" w:val="single"/>
              <w:right w:val="none"/>
            </w:tcBorders>
            <w:shd w:fill="FFFFFF" w:val="clear"/>
            <w:tcMar>
              <w:left w:type="dxa" w:w="98"/>
            </w:tcMar>
            <w:vAlign w:val="center"/>
          </w:tcPr>
          <w:p>
            <w:pPr>
              <w:pStyle w:val="style0"/>
              <w:pBdr>
                <w:top w:val="none"/>
                <w:left w:val="none"/>
                <w:bottom w:val="none"/>
                <w:insideH w:val="none"/>
                <w:right w:val="none"/>
                <w:insideV w:val="none"/>
              </w:pBdr>
              <w:shd w:fill="FFFFFF" w:val="clear"/>
            </w:pPr>
            <w:r>
              <w:rPr>
                <w:rFonts w:ascii="Arial" w:cs="Arial" w:hAnsi="Arial"/>
                <w:b/>
                <w:color w:val="000000"/>
                <w:sz w:val="20"/>
                <w:szCs w:val="20"/>
                <w:lang w:val="en-GB"/>
              </w:rPr>
              <w:t>Principal investigator (PI)</w:t>
            </w:r>
          </w:p>
        </w:tc>
        <w:tc>
          <w:tcPr>
            <w:tcW w:type="dxa" w:w="6184"/>
            <w:tcBorders>
              <w:top w:color="000001" w:space="0" w:sz="4" w:val="single"/>
              <w:left w:color="000001" w:space="0" w:sz="4" w:val="single"/>
              <w:bottom w:color="000001" w:space="0" w:sz="4" w:val="single"/>
              <w:right w:color="000001" w:space="0" w:sz="4" w:val="single"/>
            </w:tcBorders>
            <w:shd w:fill="FFFFFF" w:val="clear"/>
            <w:tcMar>
              <w:left w:type="dxa" w:w="98"/>
            </w:tcMar>
            <w:vAlign w:val="center"/>
          </w:tcPr>
          <w:p>
            <w:pPr>
              <w:pStyle w:val="style0"/>
              <w:pBdr>
                <w:top w:val="none"/>
                <w:left w:val="none"/>
                <w:bottom w:val="none"/>
                <w:insideH w:val="none"/>
                <w:right w:val="none"/>
                <w:insideV w:val="none"/>
              </w:pBdr>
              <w:shd w:fill="FFFFFF" w:val="clear"/>
            </w:pPr>
            <w:r>
              <w:rPr/>
            </w:r>
          </w:p>
          <w:p>
            <w:pPr>
              <w:pStyle w:val="style0"/>
              <w:pBdr>
                <w:top w:val="none"/>
                <w:left w:val="none"/>
                <w:bottom w:val="none"/>
                <w:insideH w:val="none"/>
                <w:right w:val="none"/>
                <w:insideV w:val="none"/>
              </w:pBdr>
              <w:shd w:fill="FFFFFF" w:val="clear"/>
            </w:pPr>
            <w:r>
              <w:rPr>
                <w:rFonts w:ascii="Arial" w:cs="Arial" w:hAnsi="Arial"/>
                <w:b/>
                <w:color w:val="000000"/>
                <w:sz w:val="20"/>
                <w:szCs w:val="20"/>
                <w:lang w:val="en-GB"/>
              </w:rPr>
              <w:t>Prof. Dr. Marco Stampanoni</w:t>
            </w:r>
          </w:p>
          <w:p>
            <w:pPr>
              <w:pStyle w:val="style0"/>
              <w:pBdr>
                <w:top w:val="none"/>
                <w:left w:val="none"/>
                <w:bottom w:val="none"/>
                <w:insideH w:val="none"/>
                <w:right w:val="none"/>
                <w:insideV w:val="none"/>
              </w:pBdr>
              <w:shd w:fill="FFFFFF" w:val="clear"/>
            </w:pPr>
            <w:r>
              <w:rPr>
                <w:rFonts w:ascii="Arial" w:cs="Arial" w:hAnsi="Arial"/>
                <w:b/>
                <w:color w:val="000000"/>
                <w:sz w:val="20"/>
                <w:szCs w:val="20"/>
                <w:lang w:val="en-GB"/>
              </w:rPr>
              <w:t>ETH Zürich and Paul Scherrer Institut</w:t>
            </w:r>
          </w:p>
          <w:p>
            <w:pPr>
              <w:pStyle w:val="style0"/>
              <w:pBdr>
                <w:top w:val="none"/>
                <w:left w:val="none"/>
                <w:bottom w:val="none"/>
                <w:insideH w:val="none"/>
                <w:right w:val="none"/>
                <w:insideV w:val="none"/>
              </w:pBdr>
              <w:shd w:fill="FFFFFF" w:val="clear"/>
            </w:pPr>
            <w:r>
              <w:rPr/>
            </w:r>
          </w:p>
        </w:tc>
      </w:tr>
      <w:tr>
        <w:trPr>
          <w:trHeight w:hRule="atLeast" w:val="340"/>
          <w:cantSplit w:val="false"/>
        </w:trPr>
        <w:tc>
          <w:tcPr>
            <w:tcW w:type="dxa" w:w="2994"/>
            <w:tcBorders>
              <w:top w:color="000001" w:space="0" w:sz="4" w:val="single"/>
              <w:left w:color="000001" w:space="0" w:sz="4" w:val="single"/>
              <w:bottom w:color="000001" w:space="0" w:sz="4" w:val="single"/>
              <w:right w:val="none"/>
            </w:tcBorders>
            <w:shd w:fill="FFFFFF" w:val="clear"/>
            <w:tcMar>
              <w:left w:type="dxa" w:w="98"/>
            </w:tcMar>
            <w:vAlign w:val="center"/>
          </w:tcPr>
          <w:p>
            <w:pPr>
              <w:pStyle w:val="style0"/>
              <w:pBdr>
                <w:top w:val="none"/>
                <w:left w:val="none"/>
                <w:bottom w:val="none"/>
                <w:insideH w:val="none"/>
                <w:right w:val="none"/>
                <w:insideV w:val="none"/>
              </w:pBdr>
              <w:shd w:fill="FFFFFF" w:val="clear"/>
            </w:pPr>
            <w:r>
              <w:rPr>
                <w:rFonts w:ascii="Arial" w:cs="Arial" w:hAnsi="Arial"/>
                <w:b/>
                <w:color w:val="000000"/>
                <w:sz w:val="20"/>
                <w:szCs w:val="20"/>
                <w:lang w:val="en-GB"/>
              </w:rPr>
              <w:t>Co-applicant(s)</w:t>
            </w:r>
          </w:p>
        </w:tc>
        <w:tc>
          <w:tcPr>
            <w:tcW w:type="dxa" w:w="6184"/>
            <w:tcBorders>
              <w:top w:color="000001" w:space="0" w:sz="4" w:val="single"/>
              <w:left w:color="000001" w:space="0" w:sz="4" w:val="single"/>
              <w:bottom w:color="000001" w:space="0" w:sz="4" w:val="single"/>
              <w:right w:color="000001" w:space="0" w:sz="4" w:val="single"/>
            </w:tcBorders>
            <w:shd w:fill="FFFFFF" w:val="clear"/>
            <w:tcMar>
              <w:left w:type="dxa" w:w="98"/>
            </w:tcMar>
            <w:vAlign w:val="center"/>
          </w:tcPr>
          <w:p>
            <w:pPr>
              <w:pStyle w:val="style0"/>
              <w:pBdr>
                <w:top w:val="none"/>
                <w:left w:val="none"/>
                <w:bottom w:val="none"/>
                <w:insideH w:val="none"/>
                <w:right w:val="none"/>
                <w:insideV w:val="none"/>
              </w:pBdr>
              <w:shd w:fill="FFFFFF" w:val="clear"/>
            </w:pPr>
            <w:r>
              <w:rPr/>
            </w:r>
          </w:p>
          <w:p>
            <w:pPr>
              <w:pStyle w:val="style0"/>
              <w:pBdr>
                <w:top w:val="none"/>
                <w:left w:val="none"/>
                <w:bottom w:val="none"/>
                <w:insideH w:val="none"/>
                <w:right w:val="none"/>
                <w:insideV w:val="none"/>
              </w:pBdr>
              <w:shd w:fill="FFFFFF" w:val="clear"/>
            </w:pPr>
            <w:r>
              <w:rPr>
                <w:rFonts w:ascii="Arial" w:cs="Arial" w:hAnsi="Arial"/>
                <w:color w:val="000000"/>
                <w:sz w:val="20"/>
                <w:szCs w:val="20"/>
                <w:lang w:val="en-GB"/>
              </w:rPr>
              <w:t>Christian Kottler, Senior R&amp;D Engineer, CSEM Zürich,</w:t>
            </w:r>
          </w:p>
          <w:p>
            <w:pPr>
              <w:pStyle w:val="style0"/>
              <w:pBdr>
                <w:top w:val="none"/>
                <w:left w:val="none"/>
                <w:bottom w:val="none"/>
                <w:insideH w:val="none"/>
                <w:right w:val="none"/>
                <w:insideV w:val="none"/>
              </w:pBdr>
              <w:shd w:fill="FFFFFF" w:val="clear"/>
            </w:pPr>
            <w:r>
              <w:rPr/>
            </w:r>
          </w:p>
        </w:tc>
      </w:tr>
      <w:tr>
        <w:trPr>
          <w:trHeight w:hRule="atLeast" w:val="340"/>
          <w:cantSplit w:val="false"/>
        </w:trPr>
        <w:tc>
          <w:tcPr>
            <w:tcW w:type="dxa" w:w="2994"/>
            <w:tcBorders>
              <w:top w:color="000001" w:space="0" w:sz="4" w:val="single"/>
              <w:left w:color="000001" w:space="0" w:sz="4" w:val="single"/>
              <w:bottom w:color="000001" w:space="0" w:sz="4" w:val="single"/>
              <w:right w:val="none"/>
            </w:tcBorders>
            <w:shd w:fill="FFFFFF" w:val="clear"/>
            <w:tcMar>
              <w:left w:type="dxa" w:w="98"/>
            </w:tcMar>
            <w:vAlign w:val="center"/>
          </w:tcPr>
          <w:p>
            <w:pPr>
              <w:pStyle w:val="style0"/>
              <w:pBdr>
                <w:top w:val="none"/>
                <w:left w:val="none"/>
                <w:bottom w:val="none"/>
                <w:insideH w:val="none"/>
                <w:right w:val="none"/>
                <w:insideV w:val="none"/>
              </w:pBdr>
              <w:shd w:fill="FFFFFF" w:val="clear"/>
            </w:pPr>
            <w:r>
              <w:rPr>
                <w:rFonts w:ascii="Arial" w:cs="Arial" w:hAnsi="Arial"/>
                <w:b/>
                <w:color w:val="000000"/>
                <w:sz w:val="20"/>
                <w:szCs w:val="20"/>
                <w:lang w:val="en-GB"/>
              </w:rPr>
              <w:t>Industrial partner(s)</w:t>
            </w:r>
          </w:p>
        </w:tc>
        <w:tc>
          <w:tcPr>
            <w:tcW w:type="dxa" w:w="6184"/>
            <w:tcBorders>
              <w:top w:color="000001" w:space="0" w:sz="4" w:val="single"/>
              <w:left w:color="000001" w:space="0" w:sz="4" w:val="single"/>
              <w:bottom w:color="000001" w:space="0" w:sz="4" w:val="single"/>
              <w:right w:color="000001" w:space="0" w:sz="4" w:val="single"/>
            </w:tcBorders>
            <w:shd w:fill="FFFFFF" w:val="clear"/>
            <w:tcMar>
              <w:left w:type="dxa" w:w="98"/>
            </w:tcMar>
            <w:vAlign w:val="center"/>
          </w:tcPr>
          <w:p>
            <w:pPr>
              <w:pStyle w:val="style0"/>
              <w:pBdr>
                <w:top w:val="none"/>
                <w:left w:val="none"/>
                <w:bottom w:val="none"/>
                <w:insideH w:val="none"/>
                <w:right w:val="none"/>
                <w:insideV w:val="none"/>
              </w:pBdr>
              <w:shd w:fill="FFFFFF" w:val="clear"/>
            </w:pPr>
            <w:r>
              <w:rPr/>
            </w:r>
          </w:p>
          <w:p>
            <w:pPr>
              <w:pStyle w:val="style0"/>
              <w:pBdr>
                <w:top w:val="none"/>
                <w:left w:val="none"/>
                <w:bottom w:val="none"/>
                <w:insideH w:val="none"/>
                <w:right w:val="none"/>
                <w:insideV w:val="none"/>
              </w:pBdr>
              <w:shd w:fill="FFFFFF" w:val="clear"/>
            </w:pPr>
            <w:r>
              <w:rPr>
                <w:rFonts w:ascii="Arial" w:cs="Arial" w:hAnsi="Arial"/>
                <w:color w:val="000000"/>
                <w:sz w:val="20"/>
                <w:szCs w:val="20"/>
                <w:lang w:val="en-GB"/>
              </w:rPr>
              <w:t>Bruno Koller, CEO SCANCO Medical AG</w:t>
            </w:r>
          </w:p>
          <w:p>
            <w:pPr>
              <w:pStyle w:val="style0"/>
              <w:pBdr>
                <w:top w:val="none"/>
                <w:left w:val="none"/>
                <w:bottom w:val="none"/>
                <w:insideH w:val="none"/>
                <w:right w:val="none"/>
                <w:insideV w:val="none"/>
              </w:pBdr>
              <w:shd w:fill="FFFFFF" w:val="clear"/>
            </w:pPr>
            <w:r>
              <w:rPr/>
            </w:r>
          </w:p>
        </w:tc>
      </w:tr>
      <w:tr>
        <w:trPr>
          <w:trHeight w:hRule="exact" w:val="340"/>
          <w:cantSplit w:val="false"/>
        </w:trPr>
        <w:tc>
          <w:tcPr>
            <w:tcW w:type="dxa" w:w="2994"/>
            <w:tcBorders>
              <w:top w:color="000001" w:space="0" w:sz="4" w:val="single"/>
              <w:left w:color="000001" w:space="0" w:sz="4" w:val="single"/>
              <w:bottom w:color="000001" w:space="0" w:sz="4" w:val="single"/>
              <w:right w:val="none"/>
            </w:tcBorders>
            <w:shd w:fill="C0C0C0" w:val="clear"/>
            <w:tcMar>
              <w:left w:type="dxa" w:w="98"/>
            </w:tcMar>
            <w:vAlign w:val="center"/>
          </w:tcPr>
          <w:p>
            <w:pPr>
              <w:pStyle w:val="style0"/>
              <w:pBdr>
                <w:top w:val="none"/>
                <w:left w:val="none"/>
                <w:bottom w:val="none"/>
                <w:insideH w:val="none"/>
                <w:right w:val="none"/>
                <w:insideV w:val="none"/>
              </w:pBdr>
              <w:shd w:fill="FFFFFF" w:val="clear"/>
            </w:pPr>
            <w:r>
              <w:rPr>
                <w:rFonts w:ascii="Arial" w:cs="Arial" w:hAnsi="Arial"/>
                <w:b/>
                <w:color w:val="000000"/>
                <w:sz w:val="20"/>
                <w:szCs w:val="20"/>
                <w:lang w:val="en-GB"/>
              </w:rPr>
              <w:t>Reporting period</w:t>
            </w:r>
          </w:p>
        </w:tc>
        <w:tc>
          <w:tcPr>
            <w:tcW w:type="dxa" w:w="6184"/>
            <w:tcBorders>
              <w:top w:color="000001" w:space="0" w:sz="4" w:val="single"/>
              <w:left w:color="000001" w:space="0" w:sz="4" w:val="single"/>
              <w:bottom w:color="000001" w:space="0" w:sz="4" w:val="single"/>
              <w:right w:color="000001" w:space="0" w:sz="4" w:val="single"/>
            </w:tcBorders>
            <w:shd w:fill="C0C0C0" w:val="clear"/>
            <w:tcMar>
              <w:left w:type="dxa" w:w="98"/>
            </w:tcMar>
            <w:vAlign w:val="center"/>
          </w:tcPr>
          <w:p>
            <w:pPr>
              <w:pStyle w:val="style0"/>
              <w:pBdr>
                <w:top w:val="none"/>
                <w:left w:val="none"/>
                <w:bottom w:val="none"/>
                <w:insideH w:val="none"/>
                <w:right w:val="none"/>
                <w:insideV w:val="none"/>
              </w:pBdr>
              <w:shd w:fill="FFFFFF" w:val="clear"/>
            </w:pPr>
            <w:r>
              <w:rPr>
                <w:rFonts w:ascii="Arial" w:cs="Arial" w:hAnsi="Arial"/>
                <w:b/>
                <w:color w:val="000000"/>
                <w:sz w:val="20"/>
                <w:szCs w:val="20"/>
                <w:shd w:fill="FFFF00" w:val="clear"/>
                <w:lang w:val="en-GB"/>
              </w:rPr>
              <w:t>1. 10. 2011 to 28. 2. 2014 (enter contract start to end date)</w:t>
            </w:r>
          </w:p>
        </w:tc>
      </w:tr>
    </w:tbl>
    <w:p>
      <w:pPr>
        <w:pStyle w:val="style0"/>
      </w:pPr>
      <w:r>
        <w:rPr/>
        <w:t xml:space="preserve"> </w:t>
      </w:r>
    </w:p>
    <w:p>
      <w:pPr>
        <w:pStyle w:val="style0"/>
      </w:pPr>
      <w:r>
        <w:rPr/>
      </w:r>
    </w:p>
    <w:p>
      <w:pPr>
        <w:pStyle w:val="style1"/>
        <w:numPr>
          <w:ilvl w:val="0"/>
          <w:numId w:val="1"/>
        </w:numPr>
      </w:pPr>
      <w:r>
        <w:rPr/>
      </w:r>
    </w:p>
    <w:p>
      <w:pPr>
        <w:pStyle w:val="style1"/>
        <w:numPr>
          <w:ilvl w:val="0"/>
          <w:numId w:val="1"/>
        </w:numPr>
        <w:jc w:val="center"/>
      </w:pPr>
      <w:r>
        <w:rPr/>
      </w:r>
    </w:p>
    <w:p>
      <w:pPr>
        <w:pStyle w:val="style1"/>
        <w:numPr>
          <w:ilvl w:val="0"/>
          <w:numId w:val="1"/>
        </w:numPr>
        <w:jc w:val="center"/>
      </w:pPr>
      <w:r>
        <w:rPr/>
      </w:r>
    </w:p>
    <w:p>
      <w:pPr>
        <w:pStyle w:val="style30"/>
        <w:ind w:hanging="0" w:left="360" w:right="0"/>
      </w:pPr>
      <w:r>
        <w:rPr>
          <w:color w:val="000000"/>
          <w:sz w:val="20"/>
          <w:szCs w:val="20"/>
        </w:rPr>
        <w:t xml:space="preserve">I, ______________________, _________________hereby declare that the information in this report is </w:t>
      </w:r>
    </w:p>
    <w:p>
      <w:pPr>
        <w:pStyle w:val="style30"/>
        <w:ind w:hanging="0" w:left="360" w:right="0"/>
      </w:pPr>
      <w:r>
        <w:rPr>
          <w:color w:val="000000"/>
          <w:sz w:val="20"/>
          <w:szCs w:val="20"/>
        </w:rPr>
        <w:tab/>
        <w:t xml:space="preserve">     “Name”</w:t>
        <w:tab/>
        <w:tab/>
        <w:t xml:space="preserve">              “Title”</w:t>
      </w:r>
    </w:p>
    <w:p>
      <w:pPr>
        <w:pStyle w:val="style30"/>
        <w:ind w:hanging="0" w:left="360" w:right="0"/>
      </w:pPr>
      <w:r>
        <w:rPr/>
      </w:r>
    </w:p>
    <w:p>
      <w:pPr>
        <w:pStyle w:val="style30"/>
        <w:ind w:hanging="0" w:left="360" w:right="0"/>
      </w:pPr>
      <w:r>
        <w:rPr>
          <w:color w:val="000000"/>
          <w:sz w:val="20"/>
          <w:szCs w:val="20"/>
        </w:rPr>
        <w:t>complete and true. The report has been approved by all the project partners.</w:t>
      </w:r>
    </w:p>
    <w:p>
      <w:pPr>
        <w:pStyle w:val="style0"/>
        <w:spacing w:after="0" w:before="120"/>
        <w:contextualSpacing w:val="false"/>
      </w:pPr>
      <w:r>
        <w:rPr/>
      </w:r>
    </w:p>
    <w:p>
      <w:pPr>
        <w:pStyle w:val="style0"/>
        <w:spacing w:after="0" w:before="120"/>
        <w:contextualSpacing w:val="false"/>
      </w:pPr>
      <w:r>
        <w:rPr/>
      </w:r>
    </w:p>
    <w:p>
      <w:pPr>
        <w:pStyle w:val="style0"/>
        <w:spacing w:after="0" w:before="120"/>
        <w:contextualSpacing w:val="false"/>
      </w:pPr>
      <w:r>
        <w:rPr/>
      </w:r>
    </w:p>
    <w:tbl>
      <w:tblPr>
        <w:jc w:val="center"/>
        <w:tblInd w:type="dxa" w:w="103"/>
        <w:tblBorders>
          <w:top w:color="000001" w:space="0" w:sz="4" w:val="single"/>
          <w:left w:color="000001" w:space="0" w:sz="4" w:val="single"/>
          <w:bottom w:color="000001" w:space="0" w:sz="4" w:val="single"/>
          <w:insideH w:color="000001" w:space="0" w:sz="4" w:val="single"/>
          <w:right w:val="none"/>
          <w:insideV w:val="none"/>
        </w:tblBorders>
        <w:tblCellMar>
          <w:top w:type="dxa" w:w="0"/>
          <w:left w:type="dxa" w:w="98"/>
          <w:bottom w:type="dxa" w:w="0"/>
          <w:right w:type="dxa" w:w="108"/>
        </w:tblCellMar>
      </w:tblPr>
      <w:tblGrid>
        <w:gridCol w:w="3186"/>
        <w:gridCol w:w="3342"/>
        <w:gridCol w:w="3338"/>
      </w:tblGrid>
      <w:tr>
        <w:trPr>
          <w:cantSplit w:val="false"/>
        </w:trPr>
        <w:tc>
          <w:tcPr>
            <w:tcW w:type="dxa" w:w="3186"/>
            <w:tcBorders>
              <w:top w:color="000001" w:space="0" w:sz="4" w:val="single"/>
              <w:left w:color="000001" w:space="0" w:sz="4" w:val="single"/>
              <w:bottom w:color="000001" w:space="0" w:sz="4" w:val="single"/>
              <w:right w:val="none"/>
            </w:tcBorders>
            <w:shd w:fill="FFFFFF" w:val="clear"/>
            <w:tcMar>
              <w:left w:type="dxa" w:w="98"/>
            </w:tcMar>
          </w:tcPr>
          <w:p>
            <w:pPr>
              <w:pStyle w:val="style0"/>
              <w:spacing w:after="0" w:before="120"/>
              <w:contextualSpacing w:val="false"/>
            </w:pPr>
            <w:r>
              <w:rPr>
                <w:rFonts w:ascii="Arial" w:cs="Arial" w:hAnsi="Arial"/>
                <w:color w:val="000000"/>
                <w:sz w:val="20"/>
                <w:szCs w:val="20"/>
                <w:lang w:val="en-GB"/>
              </w:rPr>
              <w:t>Signature</w:t>
            </w:r>
          </w:p>
        </w:tc>
        <w:tc>
          <w:tcPr>
            <w:tcW w:type="dxa" w:w="3342"/>
            <w:tcBorders>
              <w:top w:color="000001" w:space="0" w:sz="4" w:val="single"/>
              <w:left w:color="000001" w:space="0" w:sz="4" w:val="single"/>
              <w:bottom w:color="000001" w:space="0" w:sz="4" w:val="single"/>
              <w:right w:val="none"/>
            </w:tcBorders>
            <w:shd w:fill="FFFFFF" w:val="clear"/>
            <w:tcMar>
              <w:left w:type="dxa" w:w="98"/>
            </w:tcMar>
          </w:tcPr>
          <w:p>
            <w:pPr>
              <w:pStyle w:val="style0"/>
              <w:spacing w:after="0" w:before="120"/>
              <w:contextualSpacing w:val="false"/>
            </w:pPr>
            <w:r>
              <w:rPr>
                <w:rFonts w:ascii="Arial" w:cs="Arial" w:hAnsi="Arial"/>
                <w:color w:val="000000"/>
                <w:sz w:val="20"/>
                <w:szCs w:val="20"/>
                <w:lang w:val="en-GB"/>
              </w:rPr>
              <w:t xml:space="preserve">Date </w:t>
            </w:r>
          </w:p>
        </w:tc>
        <w:tc>
          <w:tcPr>
            <w:tcW w:type="dxa" w:w="3338"/>
            <w:tcBorders>
              <w:top w:color="000001" w:space="0" w:sz="4" w:val="single"/>
              <w:left w:color="000001" w:space="0" w:sz="4" w:val="single"/>
              <w:bottom w:color="000001" w:space="0" w:sz="4" w:val="single"/>
              <w:right w:color="000001" w:space="0" w:sz="4" w:val="single"/>
            </w:tcBorders>
            <w:shd w:fill="FFFFFF" w:val="clear"/>
            <w:tcMar>
              <w:left w:type="dxa" w:w="98"/>
            </w:tcMar>
          </w:tcPr>
          <w:p>
            <w:pPr>
              <w:pStyle w:val="style0"/>
              <w:spacing w:after="0" w:before="120"/>
              <w:contextualSpacing w:val="false"/>
            </w:pPr>
            <w:r>
              <w:rPr>
                <w:rFonts w:ascii="Arial" w:cs="Arial" w:hAnsi="Arial"/>
                <w:color w:val="000000"/>
                <w:sz w:val="20"/>
                <w:szCs w:val="20"/>
                <w:lang w:val="en-GB"/>
              </w:rPr>
              <w:t>Location</w:t>
            </w:r>
          </w:p>
          <w:p>
            <w:pPr>
              <w:pStyle w:val="style0"/>
              <w:spacing w:after="0" w:before="120"/>
              <w:contextualSpacing w:val="false"/>
            </w:pPr>
            <w:r>
              <w:rPr/>
            </w:r>
          </w:p>
        </w:tc>
      </w:tr>
    </w:tbl>
    <w:p>
      <w:pPr>
        <w:pStyle w:val="style0"/>
        <w:spacing w:after="0" w:before="120"/>
        <w:contextualSpacing w:val="false"/>
      </w:pPr>
      <w:r>
        <w:rPr/>
      </w:r>
    </w:p>
    <w:p>
      <w:pPr>
        <w:pStyle w:val="style0"/>
        <w:spacing w:after="0" w:before="120"/>
        <w:contextualSpacing w:val="false"/>
      </w:pPr>
      <w:r>
        <w:rPr/>
      </w:r>
    </w:p>
    <w:p>
      <w:pPr>
        <w:pStyle w:val="style0"/>
        <w:spacing w:after="0" w:before="120"/>
        <w:contextualSpacing w:val="false"/>
      </w:pPr>
      <w:r>
        <w:rPr/>
      </w:r>
    </w:p>
    <w:p>
      <w:pPr>
        <w:pStyle w:val="style0"/>
      </w:pPr>
      <w:r>
        <w:rPr/>
      </w:r>
    </w:p>
    <w:p>
      <w:pPr>
        <w:pStyle w:val="style1"/>
        <w:pageBreakBefore/>
        <w:numPr>
          <w:ilvl w:val="0"/>
          <w:numId w:val="1"/>
        </w:numPr>
        <w:jc w:val="center"/>
      </w:pPr>
      <w:r>
        <w:rPr/>
      </w:r>
    </w:p>
    <w:p>
      <w:pPr>
        <w:pStyle w:val="style1"/>
        <w:numPr>
          <w:ilvl w:val="0"/>
          <w:numId w:val="1"/>
        </w:numPr>
        <w:jc w:val="center"/>
      </w:pPr>
      <w:r>
        <w:rPr>
          <w:sz w:val="24"/>
          <w:szCs w:val="24"/>
        </w:rPr>
        <w:t xml:space="preserve">CCMX FORM 7 – FINAL SCIENTIFIC SUMMARY </w:t>
      </w:r>
    </w:p>
    <w:p>
      <w:pPr>
        <w:pStyle w:val="style1"/>
        <w:numPr>
          <w:ilvl w:val="0"/>
          <w:numId w:val="1"/>
        </w:numPr>
        <w:jc w:val="center"/>
      </w:pPr>
      <w:r>
        <w:rPr>
          <w:sz w:val="24"/>
          <w:szCs w:val="24"/>
        </w:rPr>
        <w:t xml:space="preserve">1. 10. 2011 to 28. 2. 2014  </w:t>
      </w:r>
      <w:r>
        <w:rPr>
          <w:sz w:val="24"/>
          <w:szCs w:val="24"/>
          <w:shd w:fill="FFFF00" w:val="clear"/>
        </w:rPr>
        <w:t>(ENTER IN THE ENTIRE PERIOD OF THE PROJECT)</w:t>
      </w:r>
    </w:p>
    <w:p>
      <w:pPr>
        <w:pStyle w:val="style1"/>
        <w:numPr>
          <w:ilvl w:val="0"/>
          <w:numId w:val="1"/>
        </w:numPr>
        <w:jc w:val="center"/>
      </w:pPr>
      <w:r>
        <w:rPr/>
      </w:r>
    </w:p>
    <w:p>
      <w:pPr>
        <w:pStyle w:val="style0"/>
        <w:spacing w:after="0" w:before="120"/>
        <w:contextualSpacing w:val="false"/>
      </w:pPr>
      <w:r>
        <w:rPr>
          <w:rFonts w:ascii="Arial" w:cs="Arial" w:hAnsi="Arial"/>
          <w:b/>
          <w:sz w:val="20"/>
          <w:szCs w:val="20"/>
          <w:lang w:val="en-GB"/>
        </w:rPr>
        <w:t>1. Executive Summary (max. 10 lines)</w:t>
      </w:r>
    </w:p>
    <w:p>
      <w:pPr>
        <w:pStyle w:val="style0"/>
        <w:spacing w:after="0" w:before="120"/>
        <w:contextualSpacing w:val="false"/>
      </w:pPr>
      <w:r>
        <w:rPr>
          <w:rFonts w:ascii="Arial" w:cs="Arial" w:hAnsi="Arial"/>
          <w:sz w:val="20"/>
          <w:szCs w:val="20"/>
          <w:lang w:val="en-GB"/>
        </w:rPr>
        <w:t>In this project we developed a high X-ray energy grating technology and a gantry-phase contrast system based on grating interferometry, which will be combined in the future. This approach allows recording absorption, differential phase and dark-field signals of relevant samples like e.g. lab animals simultaneously, returning information about sample attenuation, electron density and small-angle scattering power.</w:t>
      </w:r>
    </w:p>
    <w:p>
      <w:pPr>
        <w:pStyle w:val="style0"/>
        <w:spacing w:after="0" w:before="120"/>
        <w:contextualSpacing w:val="false"/>
      </w:pPr>
      <w:r>
        <w:rPr>
          <w:rFonts w:ascii="Arial" w:cs="Arial" w:hAnsi="Arial"/>
          <w:b/>
          <w:sz w:val="20"/>
          <w:szCs w:val="20"/>
          <w:lang w:val="en-GB"/>
        </w:rPr>
        <w:t>2. Project goals.</w:t>
      </w:r>
    </w:p>
    <w:p>
      <w:pPr>
        <w:pStyle w:val="style0"/>
        <w:spacing w:after="0" w:before="120"/>
        <w:contextualSpacing w:val="false"/>
        <w:jc w:val="both"/>
      </w:pPr>
      <w:r>
        <w:rPr>
          <w:rFonts w:ascii="Arial" w:cs="Arial" w:hAnsi="Arial"/>
          <w:sz w:val="20"/>
          <w:szCs w:val="20"/>
          <w:lang w:val="en-GB"/>
        </w:rPr>
        <w:t>The goal of the project was to develop a table-top, gantry-based X-ray phase contrast microCT scanner. It is  dedicated to a broad field of applications, such as biomedical imaging, inspection and non-destructive testing. Its specific strength resides in high sensitivity for weakly absorbing materials with a resolution down to a few micrometers. The two main goals are:</w:t>
      </w:r>
    </w:p>
    <w:p>
      <w:pPr>
        <w:pStyle w:val="style0"/>
        <w:numPr>
          <w:ilvl w:val="0"/>
          <w:numId w:val="3"/>
        </w:numPr>
        <w:spacing w:after="0" w:before="120"/>
        <w:ind w:hanging="720" w:left="1080" w:right="0"/>
        <w:contextualSpacing w:val="false"/>
        <w:jc w:val="both"/>
      </w:pPr>
      <w:r>
        <w:rPr>
          <w:rFonts w:ascii="Arial" w:cs="Arial" w:hAnsi="Arial"/>
          <w:sz w:val="20"/>
          <w:szCs w:val="20"/>
          <w:lang w:val="en-GB"/>
        </w:rPr>
        <w:t>Development of a gantry system (accommodating the X-ray source, image detector and interferometer), to enable the measurement of realistic samples, in the best case in-vivo samples, including dedicated acquisition protocols to allow efficient and fast measurements.</w:t>
      </w:r>
    </w:p>
    <w:p>
      <w:pPr>
        <w:pStyle w:val="style0"/>
        <w:numPr>
          <w:ilvl w:val="0"/>
          <w:numId w:val="3"/>
        </w:numPr>
        <w:spacing w:after="0" w:before="120"/>
        <w:ind w:hanging="720" w:left="1080" w:right="0"/>
        <w:contextualSpacing w:val="false"/>
        <w:jc w:val="both"/>
      </w:pPr>
      <w:r>
        <w:rPr>
          <w:rFonts w:ascii="Arial" w:cs="Arial" w:hAnsi="Arial"/>
          <w:sz w:val="20"/>
          <w:szCs w:val="20"/>
          <w:lang w:val="en-GB"/>
        </w:rPr>
        <w:t>Access to high-energy applications with demanding geometries (compact setups and fan beam illuminations), requiring the design of innovative grating solutions.</w:t>
      </w:r>
    </w:p>
    <w:p>
      <w:pPr>
        <w:pStyle w:val="style0"/>
        <w:spacing w:after="0" w:before="120"/>
        <w:contextualSpacing w:val="false"/>
      </w:pPr>
      <w:r>
        <w:rPr/>
      </w:r>
    </w:p>
    <w:p>
      <w:pPr>
        <w:pStyle w:val="style0"/>
        <w:spacing w:after="0" w:before="120"/>
        <w:contextualSpacing w:val="false"/>
      </w:pPr>
      <w:r>
        <w:rPr>
          <w:rFonts w:ascii="Arial" w:cs="Arial" w:hAnsi="Arial"/>
          <w:b/>
          <w:sz w:val="20"/>
          <w:szCs w:val="20"/>
          <w:lang w:val="en-GB"/>
        </w:rPr>
        <w:t>3. Summary of milestones and achievements during the reporting period (max ½ page).</w:t>
      </w:r>
    </w:p>
    <w:p>
      <w:pPr>
        <w:pStyle w:val="style0"/>
        <w:spacing w:after="0" w:before="120"/>
        <w:contextualSpacing w:val="false"/>
      </w:pPr>
      <w:r>
        <w:rPr>
          <w:rFonts w:ascii="Arial" w:cs="Arial" w:hAnsi="Arial"/>
          <w:sz w:val="20"/>
          <w:szCs w:val="20"/>
          <w:u w:val="single"/>
          <w:lang w:val="en-GB"/>
        </w:rPr>
        <w:t>Gantry-setup:</w:t>
      </w:r>
    </w:p>
    <w:p>
      <w:pPr>
        <w:pStyle w:val="style0"/>
        <w:spacing w:after="0" w:before="120"/>
        <w:contextualSpacing w:val="false"/>
        <w:jc w:val="both"/>
      </w:pPr>
      <w:r>
        <w:rPr>
          <w:rFonts w:ascii="Arial" w:cs="Arial" w:hAnsi="Arial"/>
          <w:sz w:val="20"/>
          <w:szCs w:val="20"/>
          <w:lang w:val="en-GB"/>
        </w:rPr>
        <w:t xml:space="preserve">The compact gantry system containing source and detector, a novel, robust design of a grating interferometer and a sample manipulation stage was constructed and put into operation. The system is made such that it rotates horizontally around the sample, but could in principle also be mounted on a vertical rotation stage. To reduce image degradations due to thermal expansion of the interferometer the whole grating holder and adjustment structure was made of Invar, which has a very low expansion coefficient.  The grating alignment in four axes is fully motorised and can be controlled on a computer. </w:t>
      </w:r>
    </w:p>
    <w:p>
      <w:pPr>
        <w:pStyle w:val="style0"/>
        <w:spacing w:after="0" w:before="120"/>
        <w:contextualSpacing w:val="false"/>
        <w:jc w:val="both"/>
      </w:pPr>
      <w:r>
        <w:rPr>
          <w:rFonts w:ascii="Arial" w:cs="Arial" w:hAnsi="Arial"/>
          <w:sz w:val="20"/>
          <w:szCs w:val="20"/>
          <w:lang w:val="en-GB"/>
        </w:rPr>
        <w:t>At CSEM a “gantry-ready” system was constructed and commissioned. It can take projection images with a field of view of 50x70 mm</w:t>
      </w:r>
      <w:r>
        <w:rPr>
          <w:rFonts w:ascii="Arial" w:cs="Arial" w:hAnsi="Arial"/>
          <w:sz w:val="20"/>
          <w:szCs w:val="20"/>
          <w:vertAlign w:val="superscript"/>
          <w:lang w:val="en-GB"/>
        </w:rPr>
        <w:t>2</w:t>
      </w:r>
      <w:r>
        <w:rPr>
          <w:rFonts w:ascii="Arial" w:cs="Arial" w:hAnsi="Arial"/>
          <w:sz w:val="20"/>
          <w:szCs w:val="20"/>
          <w:lang w:val="en-GB"/>
        </w:rPr>
        <w:t xml:space="preserve">. Also the sample positioning is fully motorised. This system design together with a reconstruction software was also transferred to PSI where a fully rotating gantry was implemented. </w:t>
      </w:r>
      <w:r>
        <w:rPr>
          <w:rFonts w:ascii="Arial" w:cs="Arial" w:hAnsi="Arial"/>
          <w:sz w:val="20"/>
          <w:szCs w:val="20"/>
          <w:shd w:fill="FFFF00" w:val="clear"/>
          <w:lang w:val="en-GB"/>
        </w:rPr>
        <w:t>…</w:t>
      </w:r>
    </w:p>
    <w:p>
      <w:pPr>
        <w:pStyle w:val="style0"/>
        <w:spacing w:after="0" w:before="120"/>
        <w:contextualSpacing w:val="false"/>
      </w:pPr>
      <w:r>
        <w:rPr>
          <w:rFonts w:ascii="Arial" w:cs="Arial" w:hAnsi="Arial"/>
          <w:sz w:val="20"/>
          <w:szCs w:val="20"/>
          <w:shd w:fill="FFFF00" w:val="clear"/>
          <w:lang w:val="en-GB"/>
        </w:rPr>
        <w:t>A compact Talbot-Lau interferometer for high-energy applications was designed and two prototypes with a design energy of 100 keV and 120 keV were realized at PSI. Higher energies require gratings with a large thickness, in order to achieve an efficient absorption, and a small period, in order to have a high sensitivity. The ratio between thickness and period, known as the aspect ratio, becomes very large, and the current fabrication technology for the gratings do not allow build such structures with X-ray lithography and electroplating.</w:t>
      </w:r>
    </w:p>
    <w:p>
      <w:pPr>
        <w:pStyle w:val="style0"/>
        <w:spacing w:after="0" w:before="120"/>
        <w:contextualSpacing w:val="false"/>
      </w:pPr>
      <w:r>
        <w:rPr>
          <w:rFonts w:ascii="Arial" w:cs="Arial" w:hAnsi="Arial"/>
          <w:sz w:val="20"/>
          <w:szCs w:val="20"/>
          <w:shd w:fill="FFFF00" w:val="clear"/>
          <w:lang w:val="en-GB"/>
        </w:rPr>
        <w:t>For this reason, a new design was used, where the gratings are laid on the beam plane. They are illuminated from the edge, so that the X-rays go through the total length of the structures. On the other hand, only one line at a time can be imaged with this system, so that a scanning procedure is implemented to perform a radiography.</w:t>
      </w:r>
    </w:p>
    <w:p>
      <w:pPr>
        <w:pStyle w:val="style0"/>
        <w:spacing w:after="0" w:before="120"/>
        <w:contextualSpacing w:val="false"/>
      </w:pPr>
      <w:r>
        <w:rPr/>
      </w:r>
    </w:p>
    <w:p>
      <w:pPr>
        <w:pStyle w:val="style0"/>
        <w:spacing w:after="0" w:before="120"/>
        <w:contextualSpacing w:val="false"/>
      </w:pPr>
      <w:r>
        <w:rPr>
          <w:rFonts w:ascii="Arial" w:cs="Arial" w:hAnsi="Arial"/>
          <w:b/>
          <w:sz w:val="20"/>
          <w:szCs w:val="20"/>
          <w:lang w:val="en-GB"/>
        </w:rPr>
        <w:t>4. Description of the achieved results (max. 4 pages).</w:t>
      </w:r>
    </w:p>
    <w:p>
      <w:pPr>
        <w:pStyle w:val="style0"/>
        <w:spacing w:after="0" w:before="120"/>
        <w:contextualSpacing w:val="false"/>
      </w:pPr>
      <w:r>
        <w:rPr/>
      </w:r>
    </w:p>
    <w:p>
      <w:pPr>
        <w:pStyle w:val="style0"/>
        <w:spacing w:after="0" w:before="120"/>
        <w:contextualSpacing w:val="false"/>
      </w:pPr>
      <w:r>
        <w:rPr>
          <w:rFonts w:ascii="Arial" w:cs="Arial" w:hAnsi="Arial"/>
          <w:sz w:val="20"/>
          <w:szCs w:val="20"/>
          <w:u w:val="single"/>
          <w:lang w:val="en-GB"/>
        </w:rPr>
        <w:t>Gantry-System:</w:t>
      </w:r>
    </w:p>
    <w:p>
      <w:pPr>
        <w:pStyle w:val="style0"/>
        <w:spacing w:after="0" w:before="120"/>
        <w:contextualSpacing w:val="false"/>
      </w:pPr>
      <w:r>
        <w:rPr>
          <w:rFonts w:ascii="Arial" w:cs="Arial" w:hAnsi="Arial"/>
          <w:sz w:val="20"/>
          <w:szCs w:val="20"/>
          <w:lang w:val="en-GB"/>
        </w:rPr>
        <w:t xml:space="preserve">A gantry approach, where the source and the detector rotate around the object under investigation, is necessary for human or animal CT imaging, since the organs would move when the body would be rotated.  The implementation of this project’s  XPCI gantry is intended for small animal imaging, like e.g. laboratory mice. The project partner Scanco produces such CT equipment and considers implementing this new technology once into his systems. </w:t>
      </w:r>
    </w:p>
    <w:p>
      <w:pPr>
        <w:pStyle w:val="style0"/>
        <w:spacing w:after="0" w:before="120"/>
        <w:contextualSpacing w:val="false"/>
      </w:pPr>
      <w:r>
        <w:rPr>
          <w:rFonts w:ascii="Arial" w:cs="Arial" w:hAnsi="Arial"/>
          <w:sz w:val="20"/>
          <w:szCs w:val="20"/>
          <w:lang w:val="en-GB"/>
        </w:rPr>
        <w:t xml:space="preserve">The technical challenge was mainly to keep the system compact and mechanically robust. Compared to the already existing XPCI systems at PSI and at CSEM we introduced two novelties. 1) the interferometer gratings were not put on individual goniometers, but they were mounted together in a solid block and can be adjusted with 4 or 5 motors within this block. The block is entirely made of Invar to avoid any thermal expansions of contraction. </w:t>
      </w:r>
    </w:p>
    <w:p>
      <w:pPr>
        <w:pStyle w:val="style0"/>
        <w:spacing w:after="0" w:before="120"/>
        <w:contextualSpacing w:val="false"/>
      </w:pPr>
      <w:r>
        <w:rPr/>
        <w:fldChar w:fldCharType="begin"/>
      </w:r>
      <w:r>
        <w:instrText> REF _Ref384023678 \h </w:instrText>
      </w:r>
      <w:r>
        <w:fldChar w:fldCharType="separate"/>
      </w:r>
      <w:r>
        <w:t xml:space="preserve">Figure </w:t>
      </w:r>
      <w:r>
        <w:fldChar w:fldCharType="end"/>
      </w:r>
      <w:r>
        <w:rPr>
          <w:rFonts w:ascii="Arial" w:cs="Arial" w:eastAsia="Arial" w:hAnsi="Arial"/>
          <w:sz w:val="20"/>
          <w:szCs w:val="20"/>
          <w:lang w:val="en-GB"/>
        </w:rPr>
        <w:t xml:space="preserve"> </w:t>
      </w:r>
      <w:r>
        <w:rPr>
          <w:rFonts w:ascii="Arial" w:cs="Arial" w:hAnsi="Arial"/>
          <w:sz w:val="20"/>
          <w:szCs w:val="20"/>
          <w:lang w:val="en-GB"/>
        </w:rPr>
        <w:t xml:space="preserve">gives an overview of the gantry system with the source, the interferometer block and the detector. The samples are placed in front of the interferometer block. </w:t>
      </w:r>
      <w:r>
        <w:rPr>
          <w:rFonts w:ascii="Arial" w:cs="Arial" w:hAnsi="Arial"/>
          <w:sz w:val="20"/>
          <w:szCs w:val="20"/>
          <w:lang w:val="en-GB"/>
        </w:rPr>
        <w:fldChar w:fldCharType="begin"/>
      </w:r>
      <w:r>
        <w:instrText> REF _Ref384023796 \h </w:instrText>
      </w:r>
      <w:r>
        <w:fldChar w:fldCharType="separate"/>
      </w:r>
      <w:r>
        <w:t xml:space="preserve">Figure </w:t>
      </w:r>
      <w:r>
        <w:fldChar w:fldCharType="end"/>
      </w:r>
      <w:r>
        <w:rPr>
          <w:rFonts w:ascii="Arial" w:cs="Arial" w:hAnsi="Arial"/>
          <w:sz w:val="20"/>
          <w:szCs w:val="20"/>
          <w:lang w:val="en-GB"/>
        </w:rPr>
        <w:t xml:space="preserve"> shows the Invar interferometer system in more detail. </w:t>
      </w:r>
    </w:p>
    <w:p>
      <w:pPr>
        <w:pStyle w:val="style0"/>
        <w:keepNext/>
        <w:spacing w:after="0" w:before="120"/>
        <w:contextualSpacing w:val="false"/>
      </w:pPr>
      <w:r>
        <w:rPr/>
        <w:drawing>
          <wp:inline distB="0" distL="0" distR="0" distT="0">
            <wp:extent cx="5976620" cy="3886200"/>
            <wp:effectExtent b="0" l="0" r="0" t="0"/>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3"/>
                    <a:srcRect/>
                    <a:stretch>
                      <a:fillRect/>
                    </a:stretch>
                  </pic:blipFill>
                  <pic:spPr bwMode="auto">
                    <a:xfrm>
                      <a:off x="0" y="0"/>
                      <a:ext cx="5976620" cy="3886200"/>
                    </a:xfrm>
                    <a:prstGeom prst="rect">
                      <a:avLst/>
                    </a:prstGeom>
                    <a:noFill/>
                    <a:ln w="9525">
                      <a:noFill/>
                      <a:miter lim="800000"/>
                      <a:headEnd/>
                      <a:tailEnd/>
                    </a:ln>
                  </pic:spPr>
                </pic:pic>
              </a:graphicData>
            </a:graphic>
          </wp:inline>
        </w:drawing>
      </w:r>
      <w:r>
        <w:rPr/>
        <w:commentReference w:id="0"/>
      </w:r>
    </w:p>
    <w:p>
      <w:pPr>
        <w:pStyle w:val="style32"/>
        <w:jc w:val="center"/>
      </w:pPr>
      <w:bookmarkStart w:id="0" w:name="_Ref384023678"/>
      <w:r>
        <w:rPr>
          <w:lang w:val="en-GB"/>
        </w:rPr>
        <w:t xml:space="preserve">Figure </w:t>
      </w:r>
      <w:bookmarkEnd w:id="0"/>
      <w:r>
        <w:rPr>
          <w:lang w:val="en-GB"/>
        </w:rPr>
        <w:t>: The gantry-ready setup at CSEM Zurich</w:t>
      </w:r>
    </w:p>
    <w:p>
      <w:pPr>
        <w:pStyle w:val="style0"/>
        <w:spacing w:after="0" w:before="120"/>
        <w:contextualSpacing w:val="false"/>
      </w:pPr>
      <w:r>
        <w:rPr/>
      </w:r>
    </w:p>
    <w:p>
      <w:pPr>
        <w:pStyle w:val="style0"/>
        <w:spacing w:after="0" w:before="120"/>
        <w:contextualSpacing w:val="false"/>
        <w:jc w:val="center"/>
      </w:pPr>
      <w:r>
        <w:rPr/>
      </w:r>
    </w:p>
    <w:p>
      <w:pPr>
        <w:pStyle w:val="style0"/>
        <w:spacing w:after="0" w:before="120"/>
        <w:contextualSpacing w:val="false"/>
      </w:pPr>
      <w:r>
        <w:rPr/>
        <w:drawing>
          <wp:inline distB="0" distL="0" distR="0" distT="0">
            <wp:extent cx="2937510" cy="2096135"/>
            <wp:effectExtent b="0" l="0" r="0" t="0"/>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4"/>
                    <a:srcRect/>
                    <a:stretch>
                      <a:fillRect/>
                    </a:stretch>
                  </pic:blipFill>
                  <pic:spPr bwMode="auto">
                    <a:xfrm>
                      <a:off x="0" y="0"/>
                      <a:ext cx="2937510" cy="2096135"/>
                    </a:xfrm>
                    <a:prstGeom prst="rect">
                      <a:avLst/>
                    </a:prstGeom>
                    <a:noFill/>
                    <a:ln w="9525">
                      <a:noFill/>
                      <a:miter lim="800000"/>
                      <a:headEnd/>
                      <a:tailEnd/>
                    </a:ln>
                  </pic:spPr>
                </pic:pic>
              </a:graphicData>
            </a:graphic>
          </wp:inline>
        </w:drawing>
      </w:r>
      <w:r>
        <w:rPr/>
        <w:drawing>
          <wp:inline distB="0" distL="0" distR="0" distT="0">
            <wp:extent cx="3173095" cy="2114550"/>
            <wp:effectExtent b="0" l="0" r="0" t="0"/>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5"/>
                    <a:srcRect/>
                    <a:stretch>
                      <a:fillRect/>
                    </a:stretch>
                  </pic:blipFill>
                  <pic:spPr bwMode="auto">
                    <a:xfrm>
                      <a:off x="0" y="0"/>
                      <a:ext cx="3173095" cy="2114550"/>
                    </a:xfrm>
                    <a:prstGeom prst="rect">
                      <a:avLst/>
                    </a:prstGeom>
                    <a:noFill/>
                    <a:ln w="9525">
                      <a:noFill/>
                      <a:miter lim="800000"/>
                      <a:headEnd/>
                      <a:tailEnd/>
                    </a:ln>
                  </pic:spPr>
                </pic:pic>
              </a:graphicData>
            </a:graphic>
          </wp:inline>
        </w:drawing>
      </w:r>
    </w:p>
    <w:p>
      <w:pPr>
        <w:pStyle w:val="style0"/>
        <w:spacing w:after="0" w:before="120"/>
        <w:contextualSpacing w:val="false"/>
      </w:pPr>
      <w:r>
        <w:rPr/>
      </w:r>
    </w:p>
    <w:p>
      <w:pPr>
        <w:pStyle w:val="style32"/>
        <w:jc w:val="center"/>
      </w:pPr>
      <w:bookmarkStart w:id="1" w:name="_Ref384023796"/>
      <w:r>
        <w:rPr>
          <w:lang w:val="en-GB"/>
        </w:rPr>
        <w:t xml:space="preserve">Figure </w:t>
      </w:r>
      <w:bookmarkEnd w:id="1"/>
      <w:r>
        <w:rPr>
          <w:lang w:val="en-GB"/>
        </w:rPr>
        <w:t>: Mechanical drawing of the interferometer block (left) and its implementation (right).</w:t>
      </w:r>
    </w:p>
    <w:p>
      <w:pPr>
        <w:pStyle w:val="style32"/>
        <w:jc w:val="center"/>
      </w:pPr>
      <w:r>
        <w:rPr/>
      </w:r>
    </w:p>
    <w:p>
      <w:pPr>
        <w:pStyle w:val="style0"/>
        <w:spacing w:after="0" w:before="120"/>
        <w:contextualSpacing w:val="false"/>
      </w:pPr>
      <w:r>
        <w:rPr/>
      </w:r>
    </w:p>
    <w:p>
      <w:pPr>
        <w:pStyle w:val="style0"/>
        <w:spacing w:after="0" w:before="120"/>
        <w:contextualSpacing w:val="false"/>
      </w:pPr>
      <w:r>
        <w:rPr>
          <w:rFonts w:ascii="Arial" w:cs="Arial" w:hAnsi="Arial"/>
          <w:sz w:val="20"/>
          <w:szCs w:val="20"/>
          <w:lang w:eastAsia="en-US" w:val="en-GB"/>
        </w:rPr>
        <w:t>The interferometer block was planeed and commissioned at CSEM. It works with a interfermoeter desing nergy of 30 keV which is adpated to small animal imaging. The grating alignment is fully motorised and can be controlled by LabView (</w:t>
      </w:r>
      <w:r>
        <w:rPr>
          <w:rFonts w:ascii="Arial" w:cs="Arial" w:hAnsi="Arial"/>
          <w:sz w:val="20"/>
          <w:szCs w:val="20"/>
          <w:lang w:eastAsia="en-US" w:val="en-GB"/>
        </w:rPr>
        <w:fldChar w:fldCharType="begin"/>
      </w:r>
      <w:r>
        <w:instrText> REF _Ref384024104 \h </w:instrText>
      </w:r>
      <w:r>
        <w:fldChar w:fldCharType="separate"/>
      </w:r>
      <w:r>
        <w:t xml:space="preserve">Figure </w:t>
      </w:r>
      <w:r>
        <w:fldChar w:fldCharType="end"/>
      </w:r>
      <w:r>
        <w:rPr>
          <w:rFonts w:ascii="Arial" w:cs="Arial" w:hAnsi="Arial"/>
          <w:sz w:val="20"/>
          <w:szCs w:val="20"/>
          <w:lang w:eastAsia="en-US" w:val="en-GB"/>
        </w:rPr>
        <w:t xml:space="preserve">). The reconstruction algorithm had to be adapted to the special form of phase stepping with Moiré stripes. </w:t>
      </w:r>
      <w:r>
        <w:rPr>
          <w:rFonts w:ascii="Arial" w:cs="Arial" w:hAnsi="Arial"/>
          <w:sz w:val="20"/>
          <w:szCs w:val="20"/>
          <w:lang w:eastAsia="en-US" w:val="en-GB"/>
        </w:rPr>
        <w:fldChar w:fldCharType="begin"/>
      </w:r>
      <w:r>
        <w:instrText> REF _Ref384024165 \h </w:instrText>
      </w:r>
      <w:r>
        <w:fldChar w:fldCharType="separate"/>
      </w:r>
      <w:r>
        <w:t xml:space="preserve">Figure </w:t>
      </w:r>
      <w:r>
        <w:fldChar w:fldCharType="end"/>
      </w:r>
      <w:r>
        <w:rPr>
          <w:rFonts w:ascii="Arial" w:cs="Arial" w:hAnsi="Arial"/>
          <w:sz w:val="20"/>
          <w:szCs w:val="20"/>
          <w:lang w:eastAsia="en-US" w:val="en-GB"/>
        </w:rPr>
        <w:t xml:space="preserve"> shows the reconstructed absorption, differential phase shift and dark field image of a small plastic rabbit, which was used to demonstrate the functionality of the system. </w:t>
      </w:r>
    </w:p>
    <w:p>
      <w:pPr>
        <w:pStyle w:val="style0"/>
        <w:spacing w:after="0" w:before="120"/>
        <w:contextualSpacing w:val="false"/>
      </w:pPr>
      <w:r>
        <w:rPr/>
      </w:r>
    </w:p>
    <w:p>
      <w:pPr>
        <w:pStyle w:val="style0"/>
        <w:keepNext/>
        <w:spacing w:after="0" w:before="120"/>
        <w:contextualSpacing w:val="false"/>
      </w:pPr>
      <w:r>
        <w:rPr/>
        <w:drawing>
          <wp:inline distB="0" distL="0" distR="0" distT="0">
            <wp:extent cx="5972810" cy="4333240"/>
            <wp:effectExtent b="0" l="0" r="0" t="0"/>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6"/>
                    <a:srcRect/>
                    <a:stretch>
                      <a:fillRect/>
                    </a:stretch>
                  </pic:blipFill>
                  <pic:spPr bwMode="auto">
                    <a:xfrm>
                      <a:off x="0" y="0"/>
                      <a:ext cx="5972810" cy="4333240"/>
                    </a:xfrm>
                    <a:prstGeom prst="rect">
                      <a:avLst/>
                    </a:prstGeom>
                    <a:noFill/>
                    <a:ln w="9525">
                      <a:noFill/>
                      <a:miter lim="800000"/>
                      <a:headEnd/>
                      <a:tailEnd/>
                    </a:ln>
                  </pic:spPr>
                </pic:pic>
              </a:graphicData>
            </a:graphic>
          </wp:inline>
        </w:drawing>
      </w:r>
    </w:p>
    <w:p>
      <w:pPr>
        <w:pStyle w:val="style32"/>
        <w:jc w:val="center"/>
      </w:pPr>
      <w:bookmarkStart w:id="2" w:name="_Ref384024104"/>
      <w:r>
        <w:rPr>
          <w:lang w:val="en-GB"/>
        </w:rPr>
        <w:t xml:space="preserve">Figure </w:t>
      </w:r>
      <w:bookmarkEnd w:id="2"/>
      <w:r>
        <w:rPr>
          <w:lang w:val="en-GB"/>
        </w:rPr>
        <w:t>: LabView control panel (at CSEM).</w:t>
      </w:r>
    </w:p>
    <w:p>
      <w:pPr>
        <w:pStyle w:val="style0"/>
        <w:spacing w:after="0" w:before="120"/>
        <w:contextualSpacing w:val="false"/>
      </w:pPr>
      <w:r>
        <w:rPr/>
      </w:r>
    </w:p>
    <w:p>
      <w:pPr>
        <w:pStyle w:val="style0"/>
        <w:spacing w:after="0" w:before="120"/>
        <w:contextualSpacing w:val="false"/>
      </w:pPr>
      <w:r>
        <w:rPr/>
      </w:r>
    </w:p>
    <w:p>
      <w:pPr>
        <w:pStyle w:val="style0"/>
        <w:keepNext/>
        <w:spacing w:after="0" w:before="120"/>
        <w:contextualSpacing w:val="false"/>
        <w:jc w:val="center"/>
      </w:pPr>
      <w:r>
        <w:rPr/>
        <w:drawing>
          <wp:inline distB="0" distL="0" distR="0" distT="0">
            <wp:extent cx="1927225" cy="1809115"/>
            <wp:effectExtent b="0" l="0" r="0" t="0"/>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7"/>
                    <a:srcRect/>
                    <a:stretch>
                      <a:fillRect/>
                    </a:stretch>
                  </pic:blipFill>
                  <pic:spPr bwMode="auto">
                    <a:xfrm>
                      <a:off x="0" y="0"/>
                      <a:ext cx="1927225" cy="1809115"/>
                    </a:xfrm>
                    <a:prstGeom prst="rect">
                      <a:avLst/>
                    </a:prstGeom>
                    <a:noFill/>
                    <a:ln w="9525">
                      <a:noFill/>
                      <a:miter lim="800000"/>
                      <a:headEnd/>
                      <a:tailEnd/>
                    </a:ln>
                  </pic:spPr>
                </pic:pic>
              </a:graphicData>
            </a:graphic>
          </wp:inline>
        </w:drawing>
      </w:r>
      <w:r>
        <w:rPr>
          <w:lang w:eastAsia="en-US" w:val="en-GB"/>
        </w:rPr>
        <w:t xml:space="preserve">  </w:t>
      </w:r>
      <w:r>
        <w:rPr>
          <w:lang w:eastAsia="en-US" w:val="en-GB"/>
        </w:rPr>
        <w:drawing>
          <wp:inline distB="0" distL="0" distR="0" distT="0">
            <wp:extent cx="1934845" cy="1831340"/>
            <wp:effectExtent b="0" l="0" r="0" t="0"/>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8"/>
                    <a:srcRect/>
                    <a:stretch>
                      <a:fillRect/>
                    </a:stretch>
                  </pic:blipFill>
                  <pic:spPr bwMode="auto">
                    <a:xfrm>
                      <a:off x="0" y="0"/>
                      <a:ext cx="1934845" cy="1831340"/>
                    </a:xfrm>
                    <a:prstGeom prst="rect">
                      <a:avLst/>
                    </a:prstGeom>
                    <a:noFill/>
                    <a:ln w="9525">
                      <a:noFill/>
                      <a:miter lim="800000"/>
                      <a:headEnd/>
                      <a:tailEnd/>
                    </a:ln>
                  </pic:spPr>
                </pic:pic>
              </a:graphicData>
            </a:graphic>
          </wp:inline>
        </w:drawing>
      </w:r>
      <w:r>
        <w:rPr>
          <w:lang w:eastAsia="en-US" w:val="en-GB"/>
        </w:rPr>
        <w:t xml:space="preserve">  </w:t>
      </w:r>
      <w:r>
        <w:rPr>
          <w:lang w:eastAsia="en-US" w:val="en-GB"/>
        </w:rPr>
        <w:drawing>
          <wp:inline distB="0" distL="0" distR="0" distT="0">
            <wp:extent cx="1934845" cy="1844040"/>
            <wp:effectExtent b="0" l="0" r="0" t="0"/>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9"/>
                    <a:srcRect/>
                    <a:stretch>
                      <a:fillRect/>
                    </a:stretch>
                  </pic:blipFill>
                  <pic:spPr bwMode="auto">
                    <a:xfrm>
                      <a:off x="0" y="0"/>
                      <a:ext cx="1934845" cy="1844040"/>
                    </a:xfrm>
                    <a:prstGeom prst="rect">
                      <a:avLst/>
                    </a:prstGeom>
                    <a:noFill/>
                    <a:ln w="9525">
                      <a:noFill/>
                      <a:miter lim="800000"/>
                      <a:headEnd/>
                      <a:tailEnd/>
                    </a:ln>
                  </pic:spPr>
                </pic:pic>
              </a:graphicData>
            </a:graphic>
          </wp:inline>
        </w:drawing>
      </w:r>
    </w:p>
    <w:p>
      <w:pPr>
        <w:pStyle w:val="style32"/>
        <w:jc w:val="center"/>
      </w:pPr>
      <w:bookmarkStart w:id="3" w:name="_Ref384024165"/>
      <w:r>
        <w:rPr>
          <w:lang w:val="en-GB"/>
        </w:rPr>
        <w:t xml:space="preserve">Figure </w:t>
      </w:r>
      <w:bookmarkEnd w:id="3"/>
      <w:r>
        <w:rPr>
          <w:lang w:val="en-GB"/>
        </w:rPr>
        <w:t xml:space="preserve">: first reconstruced single projections of a very low absorbing plastic rabbit, left: absorption image, </w:t>
        <w:br/>
        <w:t>middle: differential phase contrast image, right: scattering image.</w:t>
      </w:r>
    </w:p>
    <w:p>
      <w:pPr>
        <w:pStyle w:val="style0"/>
        <w:spacing w:after="0" w:before="120"/>
        <w:contextualSpacing w:val="false"/>
      </w:pPr>
      <w:r>
        <w:rPr/>
      </w:r>
    </w:p>
    <w:p>
      <w:pPr>
        <w:pStyle w:val="style0"/>
        <w:spacing w:after="0" w:before="120"/>
        <w:contextualSpacing w:val="false"/>
      </w:pPr>
      <w:r>
        <w:rPr>
          <w:rFonts w:ascii="Arial" w:cs="Arial" w:hAnsi="Arial"/>
          <w:sz w:val="20"/>
          <w:szCs w:val="20"/>
          <w:lang w:val="en-GB"/>
        </w:rPr>
        <w:t xml:space="preserve">Much effort went into designing a mechanically stable and compact system which is much less prone to temperature variations than e.g. the existing CCMX XPCI system at CSEM. With its compact total length of about 50 cm it is basically ready to be added to an existing Scanco CT system for small animals, of course with some modifications of the electronics and the data acquisition system. </w:t>
      </w:r>
    </w:p>
    <w:p>
      <w:pPr>
        <w:pStyle w:val="style0"/>
        <w:spacing w:after="0" w:before="120"/>
        <w:contextualSpacing w:val="false"/>
      </w:pPr>
      <w:r>
        <w:rPr>
          <w:rFonts w:ascii="Arial" w:cs="Arial" w:hAnsi="Arial"/>
          <w:sz w:val="20"/>
          <w:szCs w:val="20"/>
          <w:u w:val="single"/>
          <w:shd w:fill="FFFF00" w:val="clear"/>
          <w:lang w:val="en-GB"/>
        </w:rPr>
        <w:t>High-energy interferometer</w:t>
      </w:r>
    </w:p>
    <w:p>
      <w:pPr>
        <w:pStyle w:val="style0"/>
        <w:spacing w:after="0" w:before="120"/>
        <w:contextualSpacing w:val="false"/>
      </w:pPr>
      <w:r>
        <w:rPr/>
      </w:r>
    </w:p>
    <w:p>
      <w:pPr>
        <w:pStyle w:val="style0"/>
        <w:spacing w:after="0" w:before="120"/>
        <w:contextualSpacing w:val="false"/>
      </w:pPr>
      <w:r>
        <w:rPr>
          <w:rFonts w:ascii="Arial" w:cs="Arial" w:hAnsi="Arial"/>
          <w:sz w:val="20"/>
          <w:szCs w:val="20"/>
          <w:u w:val="none"/>
          <w:shd w:fill="FFFF00" w:val="clear"/>
          <w:lang w:val="en-GB"/>
        </w:rPr>
        <w:t>The high-energy system aims to bring grating interferometry into the range of mainstream medical and security machines. These operate at voltages above 100 kV in order to get sufficient penetration through large thicknesses or heavy materials. While lower energy applications, e.g. mammography and cartilage imaging, are successfully being developed, the unavailability of the optical elements is a limiting factor in the deployment of the technique to other areas.</w:t>
      </w:r>
    </w:p>
    <w:p>
      <w:pPr>
        <w:pStyle w:val="style0"/>
        <w:spacing w:after="0" w:before="120"/>
        <w:contextualSpacing w:val="false"/>
      </w:pPr>
      <w:r>
        <w:rPr>
          <w:rFonts w:ascii="Arial" w:cs="Arial" w:hAnsi="Arial"/>
          <w:sz w:val="20"/>
          <w:szCs w:val="20"/>
          <w:u w:val="none"/>
          <w:shd w:fill="FFFF00" w:val="clear"/>
          <w:lang w:val="en-GB"/>
        </w:rPr>
        <w:t>Two setups with a design energy of 100 keV and 120 keV were built at PSI, with gratings manufactured by Microworks GmbH. The gratings involve a circular alignment of  the structures that matches the beam divergence. The interferometers are quite compact, with a total length of 54 cm and 60 cm respectively.</w:t>
      </w:r>
    </w:p>
    <w:p>
      <w:pPr>
        <w:pStyle w:val="style0"/>
        <w:spacing w:after="0" w:before="120"/>
        <w:contextualSpacing w:val="false"/>
      </w:pPr>
      <w:r>
        <w:rPr>
          <w:rFonts w:ascii="Arial" w:cs="Arial" w:hAnsi="Arial"/>
          <w:sz w:val="20"/>
          <w:szCs w:val="20"/>
          <w:u w:val="none"/>
          <w:shd w:fill="FFFF00" w:val="clear"/>
          <w:lang w:val="en-GB"/>
        </w:rPr>
        <w:t xml:space="preserve">The grating holders are fully motorized with six degrees of freedom in order to achieve the necessary alignment on the beam plane, which is only 100 </w:t>
      </w:r>
      <w:r>
        <w:rPr>
          <w:rFonts w:ascii="Arial" w:cs="Arial" w:eastAsia="Times New Roman" w:hAnsi="Arial"/>
          <w:sz w:val="20"/>
          <w:szCs w:val="20"/>
          <w:u w:val="none"/>
          <w:shd w:fill="FFFF00" w:val="clear"/>
          <w:lang w:val="en-GB"/>
        </w:rPr>
        <w:t>µm wide.</w:t>
      </w:r>
    </w:p>
    <w:p>
      <w:pPr>
        <w:pStyle w:val="style32"/>
        <w:spacing w:after="0" w:before="120"/>
        <w:contextualSpacing w:val="false"/>
        <w:jc w:val="center"/>
      </w:pPr>
      <w:bookmarkStart w:id="4" w:name="_Ref3840241651"/>
      <w:r>
        <w:rPr>
          <w:rFonts w:ascii="Arial" w:cs="Arial" w:hAnsi="Arial"/>
          <w:sz w:val="20"/>
          <w:szCs w:val="20"/>
          <w:u w:val="none"/>
          <w:shd w:fill="FFFF00" w:val="clear"/>
          <w:lang w:val="en-GB"/>
        </w:rPr>
        <w:t xml:space="preserve">Figure </w:t>
      </w:r>
      <w:bookmarkEnd w:id="4"/>
      <w:r>
        <w:rPr>
          <w:rFonts w:ascii="Arial" w:cs="Arial" w:hAnsi="Arial"/>
          <w:sz w:val="20"/>
          <w:szCs w:val="20"/>
          <w:u w:val="none"/>
          <w:shd w:fill="FFFF00" w:val="clear"/>
          <w:lang w:val="en-GB"/>
        </w:rPr>
        <w:t>: radiography of an electronic chip with the 100 keV interferometer. Top: absorption image, with differential absorption on the right,</w:t>
        <w:br/>
        <w:t>middle: differential phase contrast image, bottom: scattering image.</w:t>
        <w:drawing>
          <wp:anchor allowOverlap="1" behindDoc="0" distB="0" distL="0" distR="0" distT="0" layoutInCell="1" locked="0" relativeHeight="0" simplePos="0">
            <wp:simplePos x="0" y="0"/>
            <wp:positionH relativeFrom="character">
              <wp:posOffset>2644140</wp:posOffset>
            </wp:positionH>
            <wp:positionV relativeFrom="line">
              <wp:posOffset>368300</wp:posOffset>
            </wp:positionV>
            <wp:extent cx="3682365" cy="3399155"/>
            <wp:effectExtent b="0" l="0" r="0" t="0"/>
            <wp:wrapTopAndBottom/>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10"/>
                    <a:srcRect/>
                    <a:stretch>
                      <a:fillRect/>
                    </a:stretch>
                  </pic:blipFill>
                  <pic:spPr bwMode="auto">
                    <a:xfrm>
                      <a:off x="0" y="0"/>
                      <a:ext cx="3682365" cy="3399155"/>
                    </a:xfrm>
                    <a:prstGeom prst="rect">
                      <a:avLst/>
                    </a:prstGeom>
                    <a:noFill/>
                    <a:ln w="9525">
                      <a:noFill/>
                      <a:miter lim="800000"/>
                      <a:headEnd/>
                      <a:tailEnd/>
                    </a:ln>
                  </pic:spPr>
                </pic:pic>
              </a:graphicData>
            </a:graphic>
          </wp:anchor>
        </w:drawing>
      </w:r>
    </w:p>
    <w:p>
      <w:pPr>
        <w:pStyle w:val="style0"/>
        <w:spacing w:after="0" w:before="120"/>
        <w:contextualSpacing w:val="false"/>
      </w:pPr>
      <w:r>
        <w:rPr>
          <w:rFonts w:ascii="Arial" w:cs="Arial" w:hAnsi="Arial"/>
          <w:sz w:val="20"/>
          <w:szCs w:val="20"/>
          <w:shd w:fill="FFFF00" w:val="clear"/>
          <w:lang w:val="en-GB"/>
        </w:rPr>
        <w:t>Although the visibility of the interferometers is still low with this first generation of gratings, averaging between 5% and 6%, first images could be acquired with the usual Fourier component analysis of the phase stepping curves.</w:t>
      </w:r>
    </w:p>
    <w:p>
      <w:pPr>
        <w:pStyle w:val="style0"/>
        <w:spacing w:after="0" w:before="120"/>
        <w:contextualSpacing w:val="false"/>
      </w:pPr>
      <w:r>
        <w:rPr>
          <w:rFonts w:ascii="Arial" w:cs="Arial" w:hAnsi="Arial"/>
          <w:sz w:val="20"/>
          <w:szCs w:val="20"/>
          <w:shd w:fill="FFFF00" w:val="clear"/>
          <w:lang w:val="en-GB"/>
        </w:rPr>
        <w:t>They show the complementarity of the three signals of Talbot interferometry at unprecedented energy levels.</w:t>
      </w:r>
    </w:p>
    <w:p>
      <w:pPr>
        <w:pStyle w:val="style0"/>
        <w:spacing w:after="0" w:before="120"/>
        <w:contextualSpacing w:val="false"/>
      </w:pPr>
      <w:r>
        <w:rPr>
          <w:rFonts w:ascii="Arial" w:cs="Arial" w:hAnsi="Arial"/>
          <w:sz w:val="20"/>
          <w:szCs w:val="20"/>
          <w:shd w:fill="FF9966" w:val="clear"/>
          <w:lang w:val="en-GB"/>
        </w:rPr>
        <w:t xml:space="preserve">The results have been presented at international conferences in San Diego (SPIE 2014) and Garmisch-Partenkirchen (XNPIG and IMXP 2014) and published in the journal Scientific Reports 4/5198.  </w:t>
      </w:r>
    </w:p>
    <w:p>
      <w:pPr>
        <w:pStyle w:val="style0"/>
        <w:spacing w:after="0" w:before="120"/>
        <w:contextualSpacing w:val="false"/>
      </w:pPr>
      <w:r>
        <w:rPr/>
      </w:r>
    </w:p>
    <w:p>
      <w:pPr>
        <w:pStyle w:val="style0"/>
        <w:tabs>
          <w:tab w:leader="none" w:pos="6120" w:val="left"/>
          <w:tab w:leader="none" w:pos="7920" w:val="left"/>
        </w:tabs>
        <w:spacing w:after="0" w:before="120"/>
        <w:contextualSpacing w:val="false"/>
      </w:pPr>
      <w:r>
        <w:rPr>
          <w:rFonts w:ascii="Arial" w:cs="Arial" w:hAnsi="Arial"/>
          <w:b/>
          <w:sz w:val="20"/>
          <w:szCs w:val="20"/>
          <w:lang w:val="en-GB"/>
        </w:rPr>
        <w:t>5. Assessment of project progress.</w:t>
      </w:r>
    </w:p>
    <w:p>
      <w:pPr>
        <w:pStyle w:val="style0"/>
        <w:tabs>
          <w:tab w:leader="none" w:pos="7020" w:val="left"/>
          <w:tab w:leader="none" w:pos="8100" w:val="left"/>
        </w:tabs>
        <w:spacing w:after="0" w:before="120"/>
        <w:contextualSpacing w:val="false"/>
      </w:pPr>
      <w:r>
        <w:rPr>
          <w:rFonts w:ascii="Arial" w:cs="Arial" w:hAnsi="Arial"/>
          <w:sz w:val="20"/>
          <w:szCs w:val="20"/>
          <w:lang w:val="en-GB"/>
        </w:rPr>
        <w:t>Did the project run as planned?</w:t>
        <w:tab/>
        <w:t>[x] Yes</w:t>
        <w:tab/>
        <w:t>[ ] No</w:t>
      </w:r>
    </w:p>
    <w:p>
      <w:pPr>
        <w:pStyle w:val="style1"/>
        <w:numPr>
          <w:ilvl w:val="0"/>
          <w:numId w:val="1"/>
        </w:numPr>
        <w:tabs>
          <w:tab w:leader="none" w:pos="7020" w:val="left"/>
          <w:tab w:leader="none" w:pos="8100" w:val="left"/>
        </w:tabs>
        <w:spacing w:after="0" w:before="120"/>
        <w:contextualSpacing w:val="false"/>
      </w:pPr>
      <w:r>
        <w:rPr>
          <w:b w:val="false"/>
          <w:sz w:val="20"/>
          <w:szCs w:val="20"/>
        </w:rPr>
        <w:t>Were the project goals reached?</w:t>
        <w:tab/>
        <w:t>[x] Yes</w:t>
        <w:tab/>
        <w:t>[ ] No</w:t>
      </w:r>
    </w:p>
    <w:p>
      <w:pPr>
        <w:pStyle w:val="style0"/>
        <w:tabs>
          <w:tab w:leader="none" w:pos="7020" w:val="left"/>
          <w:tab w:leader="none" w:pos="8100" w:val="left"/>
        </w:tabs>
        <w:spacing w:after="0" w:before="120"/>
        <w:contextualSpacing w:val="false"/>
      </w:pPr>
      <w:r>
        <w:rPr>
          <w:rFonts w:ascii="Arial" w:cs="Arial" w:hAnsi="Arial"/>
          <w:sz w:val="20"/>
          <w:szCs w:val="20"/>
          <w:lang w:val="en-GB"/>
        </w:rPr>
        <w:t>If no to either question, please describe why.</w:t>
      </w:r>
    </w:p>
    <w:p>
      <w:pPr>
        <w:pStyle w:val="style0"/>
        <w:tabs>
          <w:tab w:leader="none" w:pos="7020" w:val="left"/>
          <w:tab w:leader="none" w:pos="8100" w:val="left"/>
        </w:tabs>
        <w:spacing w:after="0" w:before="120"/>
        <w:contextualSpacing w:val="false"/>
      </w:pPr>
      <w:r>
        <w:rPr/>
      </w:r>
    </w:p>
    <w:p>
      <w:pPr>
        <w:pStyle w:val="style1"/>
        <w:numPr>
          <w:ilvl w:val="0"/>
          <w:numId w:val="1"/>
        </w:numPr>
        <w:tabs>
          <w:tab w:leader="none" w:pos="7020" w:val="left"/>
          <w:tab w:leader="none" w:pos="8100" w:val="left"/>
        </w:tabs>
        <w:spacing w:after="0" w:before="120"/>
        <w:contextualSpacing w:val="false"/>
      </w:pPr>
      <w:r>
        <w:rPr>
          <w:b w:val="false"/>
          <w:sz w:val="20"/>
          <w:szCs w:val="20"/>
        </w:rPr>
        <w:t>If PhD theses were being financed, did they progress as planned?</w:t>
      </w:r>
      <w:r>
        <w:rPr>
          <w:b w:val="false"/>
          <w:sz w:val="20"/>
          <w:szCs w:val="20"/>
        </w:rPr>
        <w:commentReference w:id="1"/>
      </w:r>
      <w:r>
        <w:rPr>
          <w:b w:val="false"/>
          <w:sz w:val="20"/>
          <w:szCs w:val="20"/>
        </w:rPr>
        <w:tab/>
        <w:t>[ ] Yes</w:t>
        <w:tab/>
        <w:t>[ ] No</w:t>
      </w:r>
    </w:p>
    <w:p>
      <w:pPr>
        <w:pStyle w:val="style0"/>
        <w:tabs>
          <w:tab w:leader="none" w:pos="7020" w:val="left"/>
          <w:tab w:leader="none" w:pos="8100" w:val="left"/>
        </w:tabs>
        <w:spacing w:after="0" w:before="120"/>
        <w:contextualSpacing w:val="false"/>
      </w:pPr>
      <w:r>
        <w:rPr>
          <w:rFonts w:ascii="Arial" w:cs="Arial" w:hAnsi="Arial"/>
          <w:sz w:val="20"/>
          <w:szCs w:val="20"/>
          <w:lang w:val="en-GB"/>
        </w:rPr>
        <w:t xml:space="preserve">If no, please describe why. </w:t>
      </w:r>
    </w:p>
    <w:p>
      <w:pPr>
        <w:pStyle w:val="style1"/>
        <w:numPr>
          <w:ilvl w:val="0"/>
          <w:numId w:val="1"/>
        </w:numPr>
        <w:tabs>
          <w:tab w:leader="none" w:pos="7020" w:val="left"/>
          <w:tab w:leader="none" w:pos="8100" w:val="left"/>
        </w:tabs>
        <w:spacing w:after="0" w:before="120"/>
        <w:contextualSpacing w:val="false"/>
      </w:pPr>
      <w:r>
        <w:rPr>
          <w:b w:val="false"/>
          <w:sz w:val="20"/>
          <w:szCs w:val="20"/>
        </w:rPr>
        <w:t>Please indicate the anticipated date of the thesis defence of the PhD candidate(s). When available, please submit a copy of the thesis.</w:t>
      </w:r>
    </w:p>
    <w:p>
      <w:pPr>
        <w:pStyle w:val="style0"/>
      </w:pPr>
      <w:r>
        <w:rPr/>
      </w:r>
    </w:p>
    <w:p>
      <w:pPr>
        <w:pStyle w:val="style0"/>
      </w:pPr>
      <w:r>
        <w:rPr>
          <w:rFonts w:ascii="Arial" w:cs="Arial" w:hAnsi="Arial"/>
          <w:sz w:val="20"/>
          <w:szCs w:val="20"/>
          <w:lang w:val="en-GB"/>
        </w:rPr>
        <w:t>If the thesis has already been defended, please indicate the title and submit a copy of the thesis.</w:t>
      </w:r>
    </w:p>
    <w:p>
      <w:pPr>
        <w:pStyle w:val="style0"/>
        <w:tabs>
          <w:tab w:leader="none" w:pos="7020" w:val="left"/>
          <w:tab w:leader="none" w:pos="8100" w:val="left"/>
        </w:tabs>
        <w:spacing w:after="0" w:before="120"/>
        <w:contextualSpacing w:val="false"/>
      </w:pPr>
      <w:r>
        <w:rPr/>
      </w:r>
    </w:p>
    <w:p>
      <w:pPr>
        <w:pStyle w:val="style0"/>
        <w:tabs>
          <w:tab w:leader="none" w:pos="7020" w:val="left"/>
          <w:tab w:leader="none" w:pos="8100" w:val="left"/>
        </w:tabs>
        <w:spacing w:after="0" w:before="120"/>
        <w:contextualSpacing w:val="false"/>
      </w:pPr>
      <w:r>
        <w:rPr>
          <w:rFonts w:ascii="Arial" w:cs="Arial" w:hAnsi="Arial"/>
          <w:b/>
          <w:sz w:val="20"/>
          <w:szCs w:val="20"/>
          <w:lang w:val="en-GB"/>
        </w:rPr>
        <w:t xml:space="preserve">6. Have publications/presentations of the project results been made? </w:t>
      </w:r>
      <w:r>
        <w:rPr>
          <w:rFonts w:ascii="Arial" w:cs="Arial" w:hAnsi="Arial"/>
          <w:b/>
          <w:sz w:val="20"/>
          <w:szCs w:val="20"/>
          <w:lang w:val="en-GB"/>
        </w:rPr>
        <w:commentReference w:id="2"/>
      </w:r>
      <w:r>
        <w:rPr>
          <w:rFonts w:ascii="Arial" w:cs="Arial" w:hAnsi="Arial"/>
          <w:b/>
          <w:sz w:val="20"/>
          <w:szCs w:val="20"/>
          <w:lang w:val="en-GB"/>
        </w:rPr>
        <w:tab/>
      </w:r>
      <w:r>
        <w:rPr>
          <w:rFonts w:ascii="Arial" w:cs="Arial" w:hAnsi="Arial"/>
          <w:sz w:val="20"/>
          <w:szCs w:val="20"/>
          <w:lang w:val="en-GB"/>
        </w:rPr>
        <w:t>[</w:t>
      </w:r>
      <w:r>
        <w:rPr>
          <w:rFonts w:ascii="Arial" w:cs="Arial" w:hAnsi="Arial"/>
          <w:sz w:val="20"/>
          <w:szCs w:val="20"/>
          <w:lang w:val="en-GB"/>
        </w:rPr>
        <w:t>x</w:t>
      </w:r>
      <w:r>
        <w:rPr>
          <w:rFonts w:ascii="Arial" w:cs="Arial" w:hAnsi="Arial"/>
          <w:sz w:val="20"/>
          <w:szCs w:val="20"/>
          <w:lang w:val="en-GB"/>
        </w:rPr>
        <w:t>] Yes</w:t>
        <w:tab/>
        <w:t>[ ] No</w:t>
      </w:r>
    </w:p>
    <w:p>
      <w:pPr>
        <w:pStyle w:val="style0"/>
        <w:tabs>
          <w:tab w:leader="none" w:pos="7020" w:val="left"/>
          <w:tab w:leader="none" w:pos="8100" w:val="left"/>
        </w:tabs>
        <w:spacing w:after="0" w:before="120"/>
        <w:contextualSpacing w:val="false"/>
      </w:pPr>
      <w:r>
        <w:rPr>
          <w:rFonts w:ascii="Arial" w:cs="Arial" w:hAnsi="Arial"/>
          <w:sz w:val="20"/>
          <w:szCs w:val="20"/>
          <w:lang w:val="en-GB"/>
        </w:rPr>
        <w:t>If yes, please list the publications in the following order (please ensure to adhere to the formatting of bold, italics etc.):</w:t>
      </w:r>
    </w:p>
    <w:p>
      <w:pPr>
        <w:pStyle w:val="style0"/>
        <w:tabs>
          <w:tab w:leader="none" w:pos="7020" w:val="left"/>
          <w:tab w:leader="none" w:pos="8100" w:val="left"/>
        </w:tabs>
        <w:spacing w:after="0" w:before="120"/>
        <w:contextualSpacing w:val="false"/>
      </w:pPr>
      <w:r>
        <w:rPr>
          <w:rFonts w:ascii="Arial" w:cs="Arial" w:hAnsi="Arial"/>
          <w:sz w:val="20"/>
          <w:szCs w:val="20"/>
          <w:lang w:val="en-GB"/>
        </w:rPr>
        <w:t xml:space="preserve">First name initials Author 1, Last Name Author 1, First name initials Author 2, Last Name Author 2, etc, </w:t>
      </w:r>
      <w:r>
        <w:rPr>
          <w:rFonts w:ascii="Arial" w:cs="Arial" w:hAnsi="Arial"/>
          <w:b/>
          <w:sz w:val="20"/>
          <w:szCs w:val="20"/>
          <w:lang w:val="en-GB"/>
        </w:rPr>
        <w:t>Title</w:t>
      </w:r>
      <w:r>
        <w:rPr>
          <w:rFonts w:ascii="Arial" w:cs="Arial" w:hAnsi="Arial"/>
          <w:sz w:val="20"/>
          <w:szCs w:val="20"/>
          <w:lang w:val="en-GB"/>
        </w:rPr>
        <w:t xml:space="preserve">, </w:t>
      </w:r>
      <w:r>
        <w:rPr>
          <w:rFonts w:ascii="Arial" w:cs="Arial" w:hAnsi="Arial"/>
          <w:i/>
          <w:sz w:val="20"/>
          <w:szCs w:val="20"/>
          <w:lang w:val="en-GB"/>
        </w:rPr>
        <w:t>Journal</w:t>
      </w:r>
      <w:r>
        <w:rPr>
          <w:rFonts w:ascii="Arial" w:cs="Arial" w:hAnsi="Arial"/>
          <w:sz w:val="20"/>
          <w:szCs w:val="20"/>
          <w:lang w:val="en-GB"/>
        </w:rPr>
        <w:t>, volume (year), 1</w:t>
      </w:r>
      <w:r>
        <w:rPr>
          <w:rFonts w:ascii="Arial" w:cs="Arial" w:hAnsi="Arial"/>
          <w:sz w:val="20"/>
          <w:szCs w:val="20"/>
          <w:vertAlign w:val="superscript"/>
          <w:lang w:val="en-GB"/>
        </w:rPr>
        <w:t>st</w:t>
      </w:r>
      <w:r>
        <w:rPr>
          <w:rFonts w:ascii="Arial" w:cs="Arial" w:hAnsi="Arial"/>
          <w:sz w:val="20"/>
          <w:szCs w:val="20"/>
          <w:lang w:val="en-GB"/>
        </w:rPr>
        <w:t xml:space="preserve"> page-last page.  </w:t>
      </w:r>
    </w:p>
    <w:p>
      <w:pPr>
        <w:pStyle w:val="style0"/>
        <w:tabs>
          <w:tab w:leader="none" w:pos="7020" w:val="left"/>
          <w:tab w:leader="none" w:pos="8100" w:val="left"/>
        </w:tabs>
        <w:spacing w:after="0" w:before="120"/>
        <w:contextualSpacing w:val="false"/>
      </w:pPr>
      <w:r>
        <w:rPr>
          <w:rFonts w:ascii="Arial" w:cs="Arial" w:hAnsi="Arial"/>
          <w:sz w:val="20"/>
          <w:szCs w:val="20"/>
          <w:lang w:val="en-GB"/>
        </w:rPr>
        <w:t xml:space="preserve">Please organize the publications/presentations into the following categories: </w:t>
      </w:r>
    </w:p>
    <w:p>
      <w:pPr>
        <w:pStyle w:val="style0"/>
        <w:tabs>
          <w:tab w:leader="none" w:pos="7020" w:val="left"/>
          <w:tab w:leader="none" w:pos="8100" w:val="left"/>
        </w:tabs>
        <w:spacing w:after="0" w:before="120"/>
        <w:contextualSpacing w:val="false"/>
      </w:pPr>
      <w:r>
        <w:rPr>
          <w:rFonts w:ascii="Arial" w:cs="Arial" w:hAnsi="Arial"/>
          <w:sz w:val="20"/>
          <w:szCs w:val="20"/>
          <w:lang w:val="en-GB"/>
        </w:rPr>
        <w:t>1) reviewed ISI-publications:</w:t>
      </w:r>
    </w:p>
    <w:p>
      <w:pPr>
        <w:pStyle w:val="style0"/>
        <w:tabs>
          <w:tab w:leader="none" w:pos="7020" w:val="left"/>
          <w:tab w:leader="none" w:pos="8100" w:val="left"/>
        </w:tabs>
        <w:spacing w:after="0" w:before="120"/>
        <w:contextualSpacing w:val="false"/>
      </w:pPr>
      <w:r>
        <w:rPr>
          <w:rFonts w:ascii="Arial" w:cs="Arial" w:hAnsi="Arial"/>
          <w:sz w:val="20"/>
          <w:szCs w:val="20"/>
          <w:shd w:fill="FF9966" w:val="clear"/>
          <w:lang w:val="en-GB"/>
        </w:rPr>
        <w:t xml:space="preserve"> </w:t>
      </w:r>
      <w:r>
        <w:rPr>
          <w:rFonts w:ascii="Arial" w:cs="Arial" w:hAnsi="Arial"/>
          <w:sz w:val="20"/>
          <w:szCs w:val="20"/>
          <w:shd w:fill="FF9966" w:val="clear"/>
          <w:lang w:val="en-GB"/>
        </w:rPr>
        <w:t>Thomas Thüring, Matteo Abis, Zhentian Wang, Christian David, Marco Stampanoni,</w:t>
      </w:r>
    </w:p>
    <w:p>
      <w:pPr>
        <w:pStyle w:val="style0"/>
        <w:tabs>
          <w:tab w:leader="none" w:pos="7020" w:val="left"/>
          <w:tab w:leader="none" w:pos="8100" w:val="left"/>
        </w:tabs>
        <w:spacing w:after="0" w:before="120"/>
        <w:contextualSpacing w:val="false"/>
      </w:pPr>
      <w:r>
        <w:rPr>
          <w:rFonts w:ascii="Arial" w:cs="Arial" w:hAnsi="Arial"/>
          <w:b/>
          <w:bCs/>
          <w:sz w:val="20"/>
          <w:szCs w:val="20"/>
          <w:shd w:fill="FF9966" w:val="clear"/>
          <w:lang w:val="en-GB"/>
        </w:rPr>
        <w:t>X-ray phase-contrast imaging at 100 keV on a conventional source</w:t>
      </w:r>
      <w:r>
        <w:rPr>
          <w:rFonts w:ascii="Arial" w:cs="Arial" w:hAnsi="Arial"/>
          <w:b w:val="false"/>
          <w:bCs w:val="false"/>
          <w:sz w:val="20"/>
          <w:szCs w:val="20"/>
          <w:shd w:fill="FF9966" w:val="clear"/>
          <w:lang w:val="en-GB"/>
        </w:rPr>
        <w:t>,</w:t>
      </w:r>
    </w:p>
    <w:p>
      <w:pPr>
        <w:pStyle w:val="style0"/>
        <w:tabs>
          <w:tab w:leader="none" w:pos="7020" w:val="left"/>
          <w:tab w:leader="none" w:pos="8100" w:val="left"/>
        </w:tabs>
        <w:spacing w:after="0" w:before="120"/>
        <w:contextualSpacing w:val="false"/>
      </w:pPr>
      <w:r>
        <w:rPr>
          <w:rFonts w:ascii="Arial" w:cs="Arial" w:hAnsi="Arial"/>
          <w:b w:val="false"/>
          <w:bCs w:val="false"/>
          <w:i/>
          <w:iCs/>
          <w:sz w:val="20"/>
          <w:szCs w:val="20"/>
          <w:shd w:fill="FF9966" w:val="clear"/>
          <w:lang w:val="en-GB"/>
        </w:rPr>
        <w:t>Scientific Reports (2014) 4/5198</w:t>
      </w:r>
    </w:p>
    <w:p>
      <w:pPr>
        <w:pStyle w:val="style0"/>
        <w:tabs>
          <w:tab w:leader="none" w:pos="7020" w:val="left"/>
          <w:tab w:leader="none" w:pos="8100" w:val="left"/>
        </w:tabs>
        <w:spacing w:after="0" w:before="120"/>
        <w:contextualSpacing w:val="false"/>
      </w:pPr>
      <w:r>
        <w:rPr>
          <w:rFonts w:ascii="Arial" w:cs="Arial" w:hAnsi="Arial"/>
          <w:sz w:val="20"/>
          <w:szCs w:val="20"/>
          <w:lang w:val="en-GB"/>
        </w:rPr>
        <w:t>2) non ISI-publications,</w:t>
      </w:r>
    </w:p>
    <w:p>
      <w:pPr>
        <w:pStyle w:val="style0"/>
        <w:tabs>
          <w:tab w:leader="none" w:pos="7020" w:val="left"/>
          <w:tab w:leader="none" w:pos="8100" w:val="left"/>
        </w:tabs>
        <w:spacing w:after="0" w:before="120"/>
        <w:contextualSpacing w:val="false"/>
      </w:pPr>
      <w:r>
        <w:rPr>
          <w:rFonts w:ascii="Arial" w:cs="Arial" w:hAnsi="Arial"/>
          <w:sz w:val="20"/>
          <w:szCs w:val="20"/>
          <w:lang w:val="en-GB"/>
        </w:rPr>
        <w:t xml:space="preserve">3) theses, </w:t>
      </w:r>
    </w:p>
    <w:p>
      <w:pPr>
        <w:pStyle w:val="style0"/>
        <w:tabs>
          <w:tab w:leader="none" w:pos="7020" w:val="left"/>
          <w:tab w:leader="none" w:pos="8100" w:val="left"/>
        </w:tabs>
        <w:spacing w:after="0" w:before="120"/>
        <w:contextualSpacing w:val="false"/>
      </w:pPr>
      <w:r>
        <w:rPr>
          <w:rFonts w:ascii="Arial" w:cs="Arial" w:hAnsi="Arial"/>
          <w:sz w:val="20"/>
          <w:szCs w:val="20"/>
          <w:lang w:val="en-GB"/>
        </w:rPr>
        <w:t>4) posters and talks at conferences</w:t>
      </w:r>
      <w:r>
        <w:rPr>
          <w:rFonts w:ascii="Arial" w:cs="Arial" w:hAnsi="Arial"/>
          <w:sz w:val="20"/>
          <w:szCs w:val="20"/>
          <w:lang w:val="en-GB"/>
        </w:rPr>
        <w:t>:</w:t>
      </w:r>
    </w:p>
    <w:p>
      <w:pPr>
        <w:pStyle w:val="style0"/>
        <w:tabs>
          <w:tab w:leader="none" w:pos="7020" w:val="left"/>
          <w:tab w:leader="none" w:pos="8100" w:val="left"/>
        </w:tabs>
        <w:spacing w:after="0" w:before="120"/>
        <w:contextualSpacing w:val="false"/>
      </w:pPr>
      <w:r>
        <w:rPr/>
      </w:r>
    </w:p>
    <w:p>
      <w:pPr>
        <w:pStyle w:val="style0"/>
        <w:tabs>
          <w:tab w:leader="none" w:pos="7020" w:val="left"/>
          <w:tab w:leader="none" w:pos="8100" w:val="left"/>
        </w:tabs>
        <w:spacing w:after="0" w:before="120"/>
        <w:contextualSpacing w:val="false"/>
      </w:pPr>
      <w:r>
        <w:rPr>
          <w:rFonts w:ascii="Arial" w:cs="Arial" w:hAnsi="Arial"/>
          <w:sz w:val="20"/>
          <w:szCs w:val="20"/>
          <w:shd w:fill="FF9966" w:val="clear"/>
          <w:lang w:val="en-GB"/>
        </w:rPr>
        <w:t>M. Abis, T. Thüring, Z. Wang, C. David, and M. Stampanoni</w:t>
      </w:r>
    </w:p>
    <w:p>
      <w:pPr>
        <w:pStyle w:val="style0"/>
        <w:tabs>
          <w:tab w:leader="none" w:pos="7020" w:val="left"/>
          <w:tab w:leader="none" w:pos="8100" w:val="left"/>
        </w:tabs>
        <w:spacing w:after="0" w:before="120"/>
        <w:contextualSpacing w:val="false"/>
      </w:pPr>
      <w:r>
        <w:rPr>
          <w:rFonts w:ascii="Arial" w:cs="Arial" w:hAnsi="Arial"/>
          <w:b/>
          <w:bCs/>
          <w:sz w:val="20"/>
          <w:szCs w:val="20"/>
          <w:shd w:fill="FF9966" w:val="clear"/>
          <w:lang w:val="en-GB"/>
        </w:rPr>
        <w:t>Phase-contrast imaging above 100 keV, grating interferometry on a conventional X-ray tube</w:t>
      </w:r>
      <w:r>
        <w:rPr>
          <w:rFonts w:ascii="Arial" w:cs="Arial" w:hAnsi="Arial"/>
          <w:sz w:val="20"/>
          <w:szCs w:val="20"/>
          <w:shd w:fill="FF9966" w:val="clear"/>
          <w:lang w:val="en-GB"/>
        </w:rPr>
        <w:br/>
      </w:r>
      <w:r>
        <w:rPr>
          <w:rFonts w:ascii="Arial" w:cs="Arial" w:hAnsi="Arial"/>
          <w:i/>
          <w:iCs/>
          <w:sz w:val="20"/>
          <w:szCs w:val="20"/>
          <w:shd w:fill="FF9966" w:val="clear"/>
          <w:lang w:val="en-GB"/>
        </w:rPr>
        <w:t>Prize for best poster at XNPIG 2014</w:t>
      </w:r>
      <w:r>
        <w:rPr>
          <w:rFonts w:ascii="Arial" w:cs="Arial" w:hAnsi="Arial"/>
          <w:sz w:val="20"/>
          <w:szCs w:val="20"/>
          <w:shd w:fill="FF9966" w:val="clear"/>
          <w:lang w:val="en-GB"/>
        </w:rPr>
        <w:br/>
      </w:r>
    </w:p>
    <w:p>
      <w:pPr>
        <w:pStyle w:val="style0"/>
        <w:tabs>
          <w:tab w:leader="none" w:pos="7020" w:val="left"/>
          <w:tab w:leader="none" w:pos="8100" w:val="left"/>
        </w:tabs>
        <w:spacing w:after="0" w:before="120"/>
        <w:contextualSpacing w:val="false"/>
      </w:pPr>
      <w:r>
        <w:rPr>
          <w:rFonts w:ascii="Arial" w:cs="Arial" w:hAnsi="Arial"/>
          <w:sz w:val="20"/>
          <w:szCs w:val="20"/>
          <w:shd w:fill="FF9966" w:val="clear"/>
          <w:lang w:val="en-GB"/>
        </w:rPr>
        <w:t>T. Thüring , M. Abis , and M. Stampanoni</w:t>
        <w:br/>
      </w:r>
      <w:r>
        <w:rPr>
          <w:rFonts w:ascii="Arial" w:cs="Arial" w:hAnsi="Arial"/>
          <w:b/>
          <w:bCs/>
          <w:sz w:val="20"/>
          <w:szCs w:val="20"/>
          <w:shd w:fill="FF9966" w:val="clear"/>
          <w:lang w:val="en-GB"/>
        </w:rPr>
        <w:t>Optimization of X-ray grating interferometry and results on a 160 kVp lab source</w:t>
        <w:br/>
      </w:r>
      <w:r>
        <w:rPr>
          <w:rFonts w:ascii="Arial" w:cs="Arial" w:hAnsi="Arial"/>
          <w:b w:val="false"/>
          <w:bCs w:val="false"/>
          <w:i/>
          <w:iCs/>
          <w:sz w:val="20"/>
          <w:szCs w:val="20"/>
          <w:shd w:fill="FF9966" w:val="clear"/>
          <w:lang w:val="en-GB"/>
        </w:rPr>
        <w:t xml:space="preserve">Poster at the SPIE 2014 conference </w:t>
      </w:r>
    </w:p>
    <w:p>
      <w:pPr>
        <w:pStyle w:val="style0"/>
        <w:tabs>
          <w:tab w:leader="none" w:pos="7020" w:val="left"/>
          <w:tab w:leader="none" w:pos="8100" w:val="left"/>
        </w:tabs>
        <w:spacing w:after="0" w:before="120"/>
        <w:contextualSpacing w:val="false"/>
      </w:pPr>
      <w:r>
        <w:rPr>
          <w:shd w:fill="FF9966" w:val="clear"/>
        </w:rPr>
      </w:r>
    </w:p>
    <w:p>
      <w:pPr>
        <w:pStyle w:val="style0"/>
        <w:tabs>
          <w:tab w:leader="none" w:pos="7020" w:val="left"/>
          <w:tab w:leader="none" w:pos="8100" w:val="left"/>
        </w:tabs>
        <w:spacing w:after="0" w:before="120"/>
        <w:contextualSpacing w:val="false"/>
      </w:pPr>
      <w:r>
        <w:rPr>
          <w:rFonts w:ascii="Arial" w:cs="Arial" w:hAnsi="Arial"/>
          <w:b/>
          <w:sz w:val="20"/>
          <w:szCs w:val="20"/>
          <w:lang w:val="en-GB"/>
        </w:rPr>
        <w:t>7. Have inventions been made and/or patents filed?</w:t>
      </w:r>
      <w:r>
        <w:rPr>
          <w:rFonts w:ascii="Arial" w:cs="Arial" w:hAnsi="Arial"/>
          <w:b/>
          <w:sz w:val="20"/>
          <w:szCs w:val="20"/>
          <w:lang w:val="en-GB"/>
        </w:rPr>
        <w:commentReference w:id="3"/>
      </w:r>
      <w:r>
        <w:rPr>
          <w:rFonts w:ascii="Arial" w:cs="Arial" w:hAnsi="Arial"/>
          <w:b/>
          <w:sz w:val="20"/>
          <w:szCs w:val="20"/>
          <w:lang w:val="en-GB"/>
        </w:rPr>
        <w:tab/>
      </w:r>
      <w:r>
        <w:rPr>
          <w:rFonts w:ascii="Arial" w:cs="Arial" w:hAnsi="Arial"/>
          <w:sz w:val="20"/>
          <w:szCs w:val="20"/>
          <w:lang w:val="en-GB"/>
        </w:rPr>
        <w:t>[ ] Yes</w:t>
        <w:tab/>
        <w:t>[ ] No</w:t>
      </w:r>
    </w:p>
    <w:p>
      <w:pPr>
        <w:pStyle w:val="style0"/>
        <w:tabs>
          <w:tab w:leader="none" w:pos="6660" w:val="left"/>
          <w:tab w:leader="none" w:pos="7920" w:val="left"/>
        </w:tabs>
        <w:spacing w:after="0" w:before="120"/>
        <w:contextualSpacing w:val="false"/>
      </w:pPr>
      <w:r>
        <w:rPr>
          <w:rFonts w:ascii="Arial" w:cs="Arial" w:hAnsi="Arial"/>
          <w:sz w:val="20"/>
          <w:szCs w:val="20"/>
          <w:lang w:val="en-GB"/>
        </w:rPr>
        <w:t>If yes, please describe / if no, are any envisaged?</w:t>
      </w:r>
    </w:p>
    <w:p>
      <w:pPr>
        <w:pStyle w:val="style0"/>
        <w:spacing w:after="0" w:before="120"/>
        <w:contextualSpacing w:val="false"/>
      </w:pPr>
      <w:r>
        <w:rPr/>
      </w:r>
    </w:p>
    <w:p>
      <w:pPr>
        <w:pStyle w:val="style0"/>
        <w:spacing w:after="0" w:before="120"/>
        <w:contextualSpacing w:val="false"/>
      </w:pPr>
      <w:r>
        <w:rPr>
          <w:rFonts w:ascii="Arial" w:cs="Arial" w:hAnsi="Arial"/>
          <w:b/>
          <w:sz w:val="20"/>
          <w:szCs w:val="20"/>
          <w:lang w:val="en-GB"/>
        </w:rPr>
        <w:t>8. Description of industrial interest and involvement.</w:t>
      </w:r>
    </w:p>
    <w:p>
      <w:pPr>
        <w:pStyle w:val="style0"/>
        <w:spacing w:after="0" w:before="120"/>
        <w:contextualSpacing w:val="false"/>
      </w:pPr>
      <w:r>
        <w:rPr>
          <w:rFonts w:ascii="Arial" w:cs="Arial" w:hAnsi="Arial"/>
          <w:sz w:val="20"/>
          <w:szCs w:val="20"/>
          <w:lang w:val="en-GB"/>
        </w:rPr>
        <w:t>a) Describe the technical contribution to the project by the industrial partner(s)</w:t>
      </w:r>
    </w:p>
    <w:p>
      <w:pPr>
        <w:pStyle w:val="style0"/>
        <w:spacing w:after="0" w:before="120"/>
        <w:contextualSpacing w:val="false"/>
      </w:pPr>
      <w:r>
        <w:rPr>
          <w:rFonts w:ascii="Arial" w:cs="Arial" w:hAnsi="Arial"/>
          <w:sz w:val="20"/>
          <w:szCs w:val="20"/>
          <w:lang w:val="en-GB"/>
        </w:rPr>
        <w:t>b) Is a commercialization strategy in place?</w:t>
      </w:r>
    </w:p>
    <w:p>
      <w:pPr>
        <w:pStyle w:val="style0"/>
        <w:spacing w:after="0" w:before="120"/>
        <w:contextualSpacing w:val="false"/>
      </w:pPr>
      <w:r>
        <w:rPr/>
      </w:r>
    </w:p>
    <w:p>
      <w:pPr>
        <w:pStyle w:val="style0"/>
        <w:spacing w:after="0" w:before="120"/>
        <w:contextualSpacing w:val="false"/>
      </w:pPr>
      <w:r>
        <w:rPr>
          <w:rFonts w:ascii="Arial" w:cs="Arial" w:hAnsi="Arial"/>
          <w:b/>
          <w:sz w:val="20"/>
          <w:szCs w:val="20"/>
          <w:lang w:val="en-GB"/>
        </w:rPr>
        <w:t xml:space="preserve">9. Tell us about any success stories in your research projects: key scientific findings, interactions between research groups, prizes won such as best talk or poster… (10 lines max. per success story) </w:t>
      </w:r>
    </w:p>
    <w:p>
      <w:pPr>
        <w:pStyle w:val="style0"/>
        <w:numPr>
          <w:ilvl w:val="0"/>
          <w:numId w:val="2"/>
        </w:numPr>
        <w:spacing w:after="0" w:before="120"/>
        <w:contextualSpacing w:val="false"/>
      </w:pPr>
      <w:r>
        <w:rPr>
          <w:rFonts w:ascii="Arial" w:cs="Arial" w:hAnsi="Arial"/>
          <w:sz w:val="20"/>
          <w:szCs w:val="20"/>
          <w:lang w:val="en-GB"/>
        </w:rPr>
        <w:t xml:space="preserve">A mechanically stable interferometer block, which is much less prone to temperature variations than previous interferometer implementations. </w:t>
      </w:r>
    </w:p>
    <w:p>
      <w:pPr>
        <w:pStyle w:val="style0"/>
        <w:spacing w:after="0" w:before="120"/>
        <w:contextualSpacing w:val="false"/>
      </w:pPr>
      <w:r>
        <w:rPr>
          <w:rFonts w:ascii="Arial" w:cs="Arial" w:hAnsi="Arial"/>
          <w:b/>
          <w:sz w:val="20"/>
          <w:szCs w:val="20"/>
          <w:lang w:val="en-GB"/>
        </w:rPr>
        <w:t>10. Please send electronically up to 5 pictures including a relevant caption (scientific topic or people) which may be used in CCMX publications (printed &amp; website).</w:t>
      </w:r>
    </w:p>
    <w:p>
      <w:pPr>
        <w:pStyle w:val="style0"/>
        <w:spacing w:after="0" w:before="120"/>
        <w:contextualSpacing w:val="false"/>
      </w:pPr>
      <w:r>
        <w:rPr/>
      </w:r>
    </w:p>
    <w:p>
      <w:pPr>
        <w:pStyle w:val="style0"/>
        <w:spacing w:after="0" w:before="120"/>
        <w:contextualSpacing w:val="false"/>
      </w:pPr>
      <w:r>
        <w:rPr>
          <w:rFonts w:ascii="Arial" w:cs="Arial" w:hAnsi="Arial"/>
          <w:b/>
          <w:sz w:val="20"/>
          <w:szCs w:val="20"/>
        </w:rPr>
        <w:t>11. Remarks.</w:t>
      </w:r>
    </w:p>
    <w:sectPr>
      <w:headerReference r:id="rId11" w:type="default"/>
      <w:footerReference r:id="rId12" w:type="default"/>
      <w:type w:val="nextPage"/>
      <w:pgMar w:bottom="1138" w:footer="461" w:gutter="0" w:header="718" w:left="2276" w:right="0" w:top="1150"/>
      <w:pgBorders w:display="allPages" w:offsetFrom="text">
        <w:pgSz w:h="15840" w:w="12240"/>
        <w:top w:color="0000FF" w:space="0" w:sz="2" w:val="single"/>
        <w:left w:val="none"/>
        <w:bottom w:val="none"/>
        <w:insideH w:val="none"/>
        <w:right w:val="none"/>
        <w:insideV w:val="none"/>
      </w:pgBorders>
      <w:pgNumType w:fmt="decimal"/>
      <w:formProt w:val="false"/>
      <w:textDirection w:val="lrTb"/>
      <w:docGrid w:charSpace="0" w:linePitch="360" w:type="default"/>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author="rka" w:date="2014-03-31T10:06:00Z" w:id="0" w:initials="">
    <w:p>
      <w:r>
        <w:rPr>
          <w:rFonts w:ascii="Times New Roman" w:cs="Times New Roman" w:eastAsia="Times New Roman" w:hAnsi="Times New Roman"/>
          <w:color w:val="00000A"/>
          <w:sz w:val="20"/>
          <w:szCs w:val="20"/>
          <w:lang w:bidi="ar-SA" w:eastAsia="zh-CN" w:val="en-GB"/>
        </w:rPr>
        <w:t xml:space="preserve">Can eventually be replaced by an image of the PSI gantry system. </w:t>
      </w:r>
    </w:p>
  </w:comment>
  <w:comment w:author="rka" w:date="2014-03-31T10:24:00Z" w:id="1" w:initials="">
    <w:p>
      <w:r>
        <w:rPr>
          <w:rFonts w:ascii="Times New Roman" w:cs="Times New Roman" w:eastAsia="Times New Roman" w:hAnsi="Times New Roman"/>
          <w:color w:val="00000A"/>
          <w:sz w:val="20"/>
          <w:szCs w:val="20"/>
          <w:lang w:bidi="ar-SA" w:eastAsia="zh-CN" w:val="en-GB"/>
        </w:rPr>
        <w:t>No thesis at CSEM</w:t>
      </w:r>
    </w:p>
  </w:comment>
  <w:comment w:author="rka" w:date="2014-03-31T10:23:00Z" w:id="2" w:initials="">
    <w:p>
      <w:r>
        <w:rPr>
          <w:rFonts w:ascii="Times New Roman" w:cs="Times New Roman" w:eastAsia="Times New Roman" w:hAnsi="Times New Roman"/>
          <w:color w:val="00000A"/>
          <w:sz w:val="20"/>
          <w:szCs w:val="20"/>
          <w:lang w:bidi="ar-SA" w:eastAsia="zh-CN" w:val="en-GB"/>
        </w:rPr>
        <w:t>Not at CSEM</w:t>
      </w:r>
    </w:p>
  </w:comment>
  <w:comment w:author="rka" w:date="2014-03-31T10:24:00Z" w:id="3" w:initials="">
    <w:p>
      <w:r>
        <w:rPr>
          <w:rFonts w:ascii="Times New Roman" w:cs="Times New Roman" w:eastAsia="Times New Roman" w:hAnsi="Times New Roman"/>
          <w:color w:val="00000A"/>
          <w:sz w:val="20"/>
          <w:szCs w:val="20"/>
          <w:lang w:bidi="ar-SA" w:eastAsia="zh-CN" w:val="fr-FR"/>
        </w:rPr>
        <w:t>No patents at CSEM</w:t>
      </w:r>
    </w:p>
  </w:comment>
</w:comments>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Arial">
    <w:charset w:val="80"/>
    <w:family w:val="roman"/>
    <w:pitch w:val="variable"/>
  </w:font>
  <w:font w:name="Symbol">
    <w:charset w:val="80"/>
    <w:family w:val="roman"/>
    <w:pitch w:val="variable"/>
  </w:font>
  <w:font w:name="Courier New">
    <w:charset w:val="80"/>
    <w:family w:val="roman"/>
    <w:pitch w:val="variable"/>
  </w:font>
  <w:font w:name="Wingdings">
    <w:charset w:val="80"/>
    <w:family w:val="roman"/>
    <w:pitch w:val="variable"/>
  </w:font>
  <w:font w:name="OpenSymbol">
    <w:altName w:val="Arial Unicode MS"/>
    <w:charset w:val="80"/>
    <w:family w:val="auto"/>
    <w:pitch w:val="default"/>
  </w:font>
  <w:font w:name="Arial">
    <w:charset w:val="80"/>
    <w:family w:val="swiss"/>
    <w:pitch w:val="variable"/>
  </w:font>
  <w:font w:name="Tahoma">
    <w:charset w:val="80"/>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5"/>
      <w:jc w:val="right"/>
    </w:pPr>
    <w:r>
      <w:rPr/>
    </w:r>
  </w:p>
  <w:p>
    <w:pPr>
      <w:pStyle w:val="style35"/>
    </w:pPr>
    <w:r>
      <w:rPr>
        <w:rFonts w:ascii="Arial" w:cs="Arial" w:hAnsi="Arial"/>
        <w:sz w:val="16"/>
        <w:szCs w:val="16"/>
        <w:lang w:val="en-GB"/>
      </w:rPr>
      <w:t xml:space="preserve">CCMX Form 7 - Final Scientific Report </w:t>
      <w:tab/>
      <w:tab/>
      <w:t xml:space="preserve">Page </w:t>
    </w:r>
    <w:r>
      <w:rPr>
        <w:rFonts w:ascii="Arial" w:cs="Arial" w:hAnsi="Arial"/>
        <w:sz w:val="16"/>
        <w:szCs w:val="16"/>
        <w:lang w:val="en-GB"/>
      </w:rPr>
      <w:fldChar w:fldCharType="begin"/>
    </w:r>
    <w:r>
      <w:instrText> PAGE </w:instrText>
    </w:r>
    <w:r>
      <w:fldChar w:fldCharType="separate"/>
    </w:r>
    <w:r>
      <w:t>9</w:t>
    </w:r>
    <w:r>
      <w:fldChar w:fldCharType="end"/>
    </w:r>
    <w:r>
      <w:rPr>
        <w:rFonts w:ascii="Arial" w:cs="Arial" w:hAnsi="Arial"/>
        <w:sz w:val="16"/>
        <w:szCs w:val="16"/>
        <w:lang w:val="en-GB"/>
      </w:rPr>
      <w:t xml:space="preserve"> / </w:t>
    </w:r>
    <w:r>
      <w:rPr>
        <w:rFonts w:ascii="Arial" w:cs="Arial" w:hAnsi="Arial"/>
        <w:sz w:val="16"/>
        <w:szCs w:val="16"/>
        <w:lang w:val="en-GB"/>
      </w:rPr>
      <w:fldChar w:fldCharType="begin"/>
    </w:r>
    <w:r>
      <w:instrText> NUMPAGES </w:instrText>
    </w:r>
    <w:r>
      <w:fldChar w:fldCharType="separate"/>
    </w:r>
    <w:r>
      <w:t>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34"/>
      <w:ind w:hanging="0" w:left="-360" w:right="0"/>
    </w:pPr>
    <w:r>
      <w:rPr/>
      <w:drawing>
        <wp:inline distB="0" distL="0" distR="0" distT="0">
          <wp:extent cx="1243330" cy="438785"/>
          <wp:effectExtent b="0" l="0" r="0" t="0"/>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
                  <a:srcRect/>
                  <a:stretch>
                    <a:fillRect/>
                  </a:stretch>
                </pic:blipFill>
                <pic:spPr bwMode="auto">
                  <a:xfrm>
                    <a:off x="0" y="0"/>
                    <a:ext cx="1243330" cy="438785"/>
                  </a:xfrm>
                  <a:prstGeom prst="rect">
                    <a:avLst/>
                  </a:prstGeom>
                  <a:noFill/>
                  <a:ln w="9525">
                    <a:noFill/>
                    <a:miter lim="800000"/>
                    <a:headEnd/>
                    <a:tailEnd/>
                  </a:ln>
                </pic:spPr>
              </pic:pic>
            </a:graphicData>
          </a:graphic>
        </wp:inline>
      </w:drawing>
    </w:r>
  </w:p>
</w:hdr>
</file>

<file path=word/numbering.xml><?xml version="1.0" encoding="utf-8"?>
<w:numbering xmlns:w="http://schemas.openxmlformats.org/wordprocessingml/2006/main">
  <w:abstractNum w:abstractNumId="1">
    <w:lvl w:ilvl="0">
      <w:start w:val="1"/>
      <w:numFmt w:val="none"/>
      <w:suff w:val="nothing"/>
      <w:lvlText w:val=""/>
      <w:lvlJc w:val="left"/>
      <w:pPr>
        <w:ind w:hanging="432" w:left="432"/>
      </w:pPr>
    </w:lvl>
    <w:lvl w:ilvl="1">
      <w:start w:val="1"/>
      <w:numFmt w:val="none"/>
      <w:suff w:val="nothing"/>
      <w:lvlText w:val=""/>
      <w:lvlJc w:val="left"/>
      <w:pPr>
        <w:ind w:hanging="576" w:left="576"/>
      </w:pPr>
    </w:lvl>
    <w:lvl w:ilvl="2">
      <w:start w:val="1"/>
      <w:numFmt w:val="none"/>
      <w:suff w:val="nothing"/>
      <w:lvlText w:val=""/>
      <w:lvlJc w:val="left"/>
      <w:pPr>
        <w:ind w:hanging="720" w:left="720"/>
      </w:pPr>
    </w:lvl>
    <w:lvl w:ilvl="3">
      <w:start w:val="1"/>
      <w:numFmt w:val="none"/>
      <w:suff w:val="nothing"/>
      <w:lvlText w:val=""/>
      <w:lvlJc w:val="left"/>
      <w:pPr>
        <w:ind w:hanging="864" w:left="864"/>
      </w:pPr>
    </w:lvl>
    <w:lvl w:ilvl="4">
      <w:start w:val="1"/>
      <w:numFmt w:val="none"/>
      <w:suff w:val="nothing"/>
      <w:lvlText w:val=""/>
      <w:lvlJc w:val="left"/>
      <w:pPr>
        <w:ind w:hanging="1008" w:left="1008"/>
      </w:pPr>
    </w:lvl>
    <w:lvl w:ilvl="5">
      <w:start w:val="1"/>
      <w:numFmt w:val="none"/>
      <w:suff w:val="nothing"/>
      <w:lvlText w:val=""/>
      <w:lvlJc w:val="left"/>
      <w:pPr>
        <w:ind w:hanging="1152" w:left="1152"/>
      </w:pPr>
    </w:lvl>
    <w:lvl w:ilvl="6">
      <w:start w:val="1"/>
      <w:numFmt w:val="none"/>
      <w:suff w:val="nothing"/>
      <w:lvlText w:val=""/>
      <w:lvlJc w:val="left"/>
      <w:pPr>
        <w:ind w:hanging="1296" w:left="1296"/>
      </w:pPr>
    </w:lvl>
    <w:lvl w:ilvl="7">
      <w:start w:val="1"/>
      <w:numFmt w:val="none"/>
      <w:suff w:val="nothing"/>
      <w:lvlText w:val=""/>
      <w:lvlJc w:val="left"/>
      <w:pPr>
        <w:ind w:hanging="1440" w:left="1440"/>
      </w:pPr>
    </w:lvl>
    <w:lvl w:ilvl="8">
      <w:start w:val="1"/>
      <w:numFmt w:val="none"/>
      <w:suff w:val="nothing"/>
      <w:lvlText w:val=""/>
      <w:lvlJc w:val="left"/>
      <w:pPr>
        <w:ind w:hanging="1584" w:left="1584"/>
      </w:pPr>
    </w:lvl>
  </w:abstractNum>
  <w:abstractNum w:abstractNumId="2">
    <w:lvl w:ilvl="0">
      <w:start w:val="1"/>
      <w:numFmt w:val="bullet"/>
      <w:lvlText w:val=""/>
      <w:lvlJc w:val="left"/>
      <w:pPr>
        <w:ind w:hanging="360" w:left="72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3">
    <w:lvl w:ilvl="0">
      <w:start w:val="1"/>
      <w:numFmt w:val="lowerRoman"/>
      <w:lvlText w:val="(%1)"/>
      <w:lvlJc w:val="left"/>
      <w:pPr>
        <w:ind w:hanging="720" w:left="108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4">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08"/>
</w:settings>
</file>

<file path=word/styles.xml><?xml version="1.0" encoding="utf-8"?>
<w:styles xmlns:w="http://schemas.openxmlformats.org/wordprocessingml/2006/main">
  <w:style w:styleId="style0" w:type="paragraph">
    <w:name w:val="Default Style"/>
    <w:next w:val="style0"/>
    <w:pPr>
      <w:widowControl/>
      <w:suppressAutoHyphens w:val="true"/>
    </w:pPr>
    <w:rPr>
      <w:rFonts w:ascii="Times New Roman" w:cs="Times New Roman" w:eastAsia="Times New Roman" w:hAnsi="Times New Roman"/>
      <w:color w:val="00000A"/>
      <w:sz w:val="24"/>
      <w:szCs w:val="24"/>
      <w:lang w:bidi="ar-SA" w:eastAsia="zh-CN" w:val="fr-FR"/>
    </w:rPr>
  </w:style>
  <w:style w:styleId="style1" w:type="paragraph">
    <w:name w:val="Heading 1"/>
    <w:basedOn w:val="style0"/>
    <w:next w:val="style1"/>
    <w:pPr>
      <w:keepNext/>
    </w:pPr>
    <w:rPr>
      <w:rFonts w:ascii="Arial" w:cs="Arial" w:hAnsi="Arial"/>
      <w:b/>
      <w:sz w:val="18"/>
      <w:szCs w:val="18"/>
      <w:lang w:val="en-GB"/>
    </w:rPr>
  </w:style>
  <w:style w:styleId="style2" w:type="paragraph">
    <w:name w:val="Heading 2"/>
    <w:basedOn w:val="style0"/>
    <w:next w:val="style2"/>
    <w:pPr>
      <w:keepNext/>
    </w:pPr>
    <w:rPr>
      <w:rFonts w:ascii="Arial" w:cs="Arial" w:hAnsi="Arial"/>
      <w:i/>
      <w:sz w:val="18"/>
      <w:szCs w:val="18"/>
      <w:lang w:val="en-GB"/>
    </w:rPr>
  </w:style>
  <w:style w:styleId="style3" w:type="paragraph">
    <w:name w:val="Heading 3"/>
    <w:basedOn w:val="style0"/>
    <w:next w:val="style3"/>
    <w:pPr>
      <w:keepNext/>
    </w:pPr>
    <w:rPr>
      <w:rFonts w:ascii="Arial" w:cs="Arial" w:hAnsi="Arial"/>
      <w:b/>
      <w:color w:val="0000FF"/>
      <w:sz w:val="18"/>
      <w:szCs w:val="18"/>
      <w:lang w:val="en-GB"/>
    </w:rPr>
  </w:style>
  <w:style w:styleId="style4" w:type="paragraph">
    <w:name w:val="Heading 4"/>
    <w:basedOn w:val="style0"/>
    <w:next w:val="style4"/>
    <w:pPr>
      <w:keepNext/>
      <w:jc w:val="center"/>
    </w:pPr>
    <w:rPr>
      <w:rFonts w:ascii="Arial" w:cs="Arial" w:hAnsi="Arial"/>
      <w:i/>
      <w:sz w:val="18"/>
      <w:szCs w:val="18"/>
      <w:lang w:val="en-GB"/>
    </w:rPr>
  </w:style>
  <w:style w:styleId="style5" w:type="paragraph">
    <w:name w:val="Heading 5"/>
    <w:basedOn w:val="style0"/>
    <w:next w:val="style5"/>
    <w:pPr>
      <w:keepNext/>
    </w:pPr>
    <w:rPr>
      <w:rFonts w:ascii="Arial" w:cs="Arial" w:hAnsi="Arial"/>
      <w:b/>
      <w:color w:val="000000"/>
      <w:sz w:val="18"/>
      <w:szCs w:val="18"/>
      <w:lang w:val="en-GB"/>
    </w:rPr>
  </w:style>
  <w:style w:styleId="style6" w:type="paragraph">
    <w:name w:val="Heading 6"/>
    <w:basedOn w:val="style0"/>
    <w:next w:val="style6"/>
    <w:pPr>
      <w:keepNext/>
      <w:jc w:val="center"/>
    </w:pPr>
    <w:rPr>
      <w:rFonts w:ascii="Arial" w:cs="Arial" w:hAnsi="Arial"/>
      <w:b/>
      <w:color w:val="000000"/>
      <w:sz w:val="20"/>
      <w:szCs w:val="20"/>
      <w:lang w:val="en-GB"/>
    </w:rPr>
  </w:style>
  <w:style w:styleId="style15" w:type="character">
    <w:name w:val="WW8Num2z0"/>
    <w:next w:val="style15"/>
    <w:rPr>
      <w:rFonts w:ascii="Symbol" w:cs="Symbol" w:hAnsi="Symbol"/>
    </w:rPr>
  </w:style>
  <w:style w:styleId="style16" w:type="character">
    <w:name w:val="WW8Num2z1"/>
    <w:next w:val="style16"/>
    <w:rPr>
      <w:rFonts w:ascii="Courier New" w:cs="Courier New" w:hAnsi="Courier New"/>
    </w:rPr>
  </w:style>
  <w:style w:styleId="style17" w:type="character">
    <w:name w:val="WW8Num2z2"/>
    <w:next w:val="style17"/>
    <w:rPr>
      <w:rFonts w:ascii="Wingdings" w:cs="Wingdings" w:hAnsi="Wingdings"/>
    </w:rPr>
  </w:style>
  <w:style w:styleId="style18" w:type="character">
    <w:name w:val="WW8Num4z0"/>
    <w:next w:val="style18"/>
    <w:rPr>
      <w:rFonts w:ascii="Symbol" w:cs="Symbol" w:eastAsia="Times New Roman" w:hAnsi="Symbol"/>
    </w:rPr>
  </w:style>
  <w:style w:styleId="style19" w:type="character">
    <w:name w:val="WW8Num4z1"/>
    <w:next w:val="style19"/>
    <w:rPr>
      <w:rFonts w:ascii="Courier New" w:cs="Arial" w:hAnsi="Courier New"/>
    </w:rPr>
  </w:style>
  <w:style w:styleId="style20" w:type="character">
    <w:name w:val="WW8Num4z2"/>
    <w:next w:val="style20"/>
    <w:rPr>
      <w:rFonts w:ascii="Wingdings" w:cs="Wingdings" w:hAnsi="Wingdings"/>
    </w:rPr>
  </w:style>
  <w:style w:styleId="style21" w:type="character">
    <w:name w:val="WW8Num4z3"/>
    <w:next w:val="style21"/>
    <w:rPr>
      <w:rFonts w:ascii="Symbol" w:cs="Symbol" w:hAnsi="Symbol"/>
    </w:rPr>
  </w:style>
  <w:style w:styleId="style22" w:type="character">
    <w:name w:val="Default Paragraph Font"/>
    <w:next w:val="style22"/>
    <w:rPr/>
  </w:style>
  <w:style w:styleId="style23" w:type="character">
    <w:name w:val="Internet Link"/>
    <w:next w:val="style23"/>
    <w:rPr>
      <w:rFonts w:cs="Times New Roman"/>
      <w:color w:val="0000FF"/>
      <w:u w:val="single"/>
      <w:lang w:bidi="zxx-" w:eastAsia="zxx-" w:val="zxx-"/>
    </w:rPr>
  </w:style>
  <w:style w:styleId="style24" w:type="character">
    <w:name w:val="Comment Reference"/>
    <w:next w:val="style24"/>
    <w:rPr>
      <w:sz w:val="16"/>
      <w:szCs w:val="16"/>
    </w:rPr>
  </w:style>
  <w:style w:styleId="style25" w:type="character">
    <w:name w:val="Comment Text Char"/>
    <w:next w:val="style25"/>
    <w:rPr>
      <w:lang w:val="fr-FR"/>
    </w:rPr>
  </w:style>
  <w:style w:styleId="style26" w:type="character">
    <w:name w:val="Comment Subject Char"/>
    <w:next w:val="style26"/>
    <w:rPr>
      <w:b/>
      <w:bCs/>
      <w:lang w:val="fr-FR"/>
    </w:rPr>
  </w:style>
  <w:style w:styleId="style27" w:type="character">
    <w:name w:val="ListLabel 1"/>
    <w:next w:val="style27"/>
    <w:rPr>
      <w:rFonts w:cs="Symbol"/>
    </w:rPr>
  </w:style>
  <w:style w:styleId="style28" w:type="character">
    <w:name w:val="Bullets"/>
    <w:next w:val="style28"/>
    <w:rPr>
      <w:rFonts w:ascii="OpenSymbol" w:cs="OpenSymbol" w:eastAsia="OpenSymbol" w:hAnsi="OpenSymbol"/>
    </w:rPr>
  </w:style>
  <w:style w:styleId="style29" w:type="paragraph">
    <w:name w:val="Heading"/>
    <w:basedOn w:val="style0"/>
    <w:next w:val="style30"/>
    <w:pPr>
      <w:keepNext/>
      <w:spacing w:after="120" w:before="240"/>
      <w:contextualSpacing w:val="false"/>
      <w:jc w:val="center"/>
    </w:pPr>
    <w:rPr>
      <w:rFonts w:ascii="Arial" w:cs="Arial" w:eastAsia="DejaVu Sans" w:hAnsi="Arial"/>
      <w:b/>
      <w:sz w:val="20"/>
      <w:szCs w:val="20"/>
      <w:lang w:val="en-GB"/>
    </w:rPr>
  </w:style>
  <w:style w:styleId="style30" w:type="paragraph">
    <w:name w:val="Text Body"/>
    <w:basedOn w:val="style0"/>
    <w:next w:val="style30"/>
    <w:pPr>
      <w:spacing w:after="120" w:before="0"/>
      <w:contextualSpacing w:val="false"/>
    </w:pPr>
    <w:rPr>
      <w:rFonts w:ascii="Arial" w:cs="Arial" w:hAnsi="Arial"/>
      <w:color w:val="FF0000"/>
      <w:sz w:val="22"/>
      <w:szCs w:val="22"/>
      <w:lang w:val="en-GB"/>
    </w:rPr>
  </w:style>
  <w:style w:styleId="style31" w:type="paragraph">
    <w:name w:val="List"/>
    <w:basedOn w:val="style30"/>
    <w:next w:val="style31"/>
    <w:pPr/>
    <w:rPr>
      <w:rFonts w:cs="Lohit Hindi"/>
    </w:rPr>
  </w:style>
  <w:style w:styleId="style32" w:type="paragraph">
    <w:name w:val="Caption"/>
    <w:basedOn w:val="style0"/>
    <w:next w:val="style32"/>
    <w:pPr>
      <w:suppressLineNumbers/>
      <w:spacing w:after="120" w:before="120"/>
      <w:contextualSpacing w:val="false"/>
    </w:pPr>
    <w:rPr>
      <w:rFonts w:cs="Lohit Hindi"/>
      <w:b/>
      <w:bCs/>
      <w:i/>
      <w:iCs/>
      <w:sz w:val="20"/>
      <w:szCs w:val="20"/>
    </w:rPr>
  </w:style>
  <w:style w:styleId="style33" w:type="paragraph">
    <w:name w:val="Index"/>
    <w:basedOn w:val="style0"/>
    <w:next w:val="style33"/>
    <w:pPr>
      <w:suppressLineNumbers/>
    </w:pPr>
    <w:rPr>
      <w:rFonts w:cs="Lohit Hindi"/>
    </w:rPr>
  </w:style>
  <w:style w:styleId="style34" w:type="paragraph">
    <w:name w:val="Header"/>
    <w:basedOn w:val="style0"/>
    <w:next w:val="style34"/>
    <w:pPr>
      <w:tabs>
        <w:tab w:leader="none" w:pos="4536" w:val="center"/>
        <w:tab w:leader="none" w:pos="9072" w:val="right"/>
      </w:tabs>
    </w:pPr>
    <w:rPr/>
  </w:style>
  <w:style w:styleId="style35" w:type="paragraph">
    <w:name w:val="Footer"/>
    <w:basedOn w:val="style0"/>
    <w:next w:val="style35"/>
    <w:pPr>
      <w:tabs>
        <w:tab w:leader="none" w:pos="4536" w:val="center"/>
        <w:tab w:leader="none" w:pos="9072" w:val="right"/>
      </w:tabs>
    </w:pPr>
    <w:rPr/>
  </w:style>
  <w:style w:styleId="style36" w:type="paragraph">
    <w:name w:val="Balloon Text"/>
    <w:basedOn w:val="style0"/>
    <w:next w:val="style36"/>
    <w:pPr/>
    <w:rPr>
      <w:rFonts w:ascii="Tahoma" w:cs="Tahoma" w:hAnsi="Tahoma"/>
      <w:sz w:val="16"/>
      <w:szCs w:val="16"/>
    </w:rPr>
  </w:style>
  <w:style w:styleId="style37" w:type="paragraph">
    <w:name w:val="Normal (Web)"/>
    <w:basedOn w:val="style0"/>
    <w:next w:val="style37"/>
    <w:pPr>
      <w:spacing w:after="280" w:before="280"/>
      <w:contextualSpacing w:val="false"/>
    </w:pPr>
    <w:rPr>
      <w:rFonts w:eastAsia="Times New Roman"/>
      <w:lang w:val="en-GB"/>
    </w:rPr>
  </w:style>
  <w:style w:styleId="style38" w:type="paragraph">
    <w:name w:val="Comment Text"/>
    <w:basedOn w:val="style0"/>
    <w:next w:val="style38"/>
    <w:pPr/>
    <w:rPr>
      <w:sz w:val="20"/>
      <w:szCs w:val="20"/>
    </w:rPr>
  </w:style>
  <w:style w:styleId="style39" w:type="paragraph">
    <w:name w:val="Comment Subject"/>
    <w:basedOn w:val="style38"/>
    <w:next w:val="style39"/>
    <w:pPr/>
    <w:rPr>
      <w:b/>
      <w:bCs/>
    </w:rPr>
  </w:style>
  <w:style w:styleId="style40" w:type="paragraph">
    <w:name w:val="Frame Contents"/>
    <w:basedOn w:val="style30"/>
    <w:next w:val="style40"/>
    <w:pPr/>
    <w:rPr/>
  </w:style>
  <w:style w:styleId="style41" w:type="paragraph">
    <w:name w:val="Table Contents"/>
    <w:basedOn w:val="style0"/>
    <w:next w:val="style41"/>
    <w:pPr>
      <w:suppressLineNumbers/>
    </w:pPr>
    <w:rPr/>
  </w:style>
  <w:style w:styleId="style42" w:type="paragraph">
    <w:name w:val="Table Heading"/>
    <w:basedOn w:val="style41"/>
    <w:next w:val="style42"/>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reporting@ccmx.ch"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9.png"/>
</Relationships>
</file>

<file path=docProps/app.xml><?xml version="1.0" encoding="utf-8"?>
<Properties xmlns="http://schemas.openxmlformats.org/officeDocument/2006/extended-properties" xmlns:vt="http://schemas.openxmlformats.org/officeDocument/2006/docPropsVTypes">
  <Template>70BD30C5.dotm</Template>
  <TotalTime>1367256704</TotalTime>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2014-04-09T09:39:00.00Z</dcterms:created>
  <dc:creator>pws</dc:creator>
  <cp:lastModifiedBy>Büchner Maria</cp:lastModifiedBy>
  <cp:lastPrinted>2009-09-07T15:24:00.00Z</cp:lastPrinted>
  <dcterms:modified xsi:type="dcterms:W3CDTF">2014-04-09T09:39:00.00Z</dcterms:modified>
  <cp:revision>2</cp:revision>
  <dc:title>CCMX project</dc:title>
</cp:coreProperties>
</file>