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EFMW-EXP-001</w:t>
      </w:r>
    </w:p>
    <w:p>
      <w:pPr>
        <w:jc w:val="center"/>
      </w:pPr>
      <w:r>
        <w:rPr>
          <w:b/>
          <w:sz w:val="30"/>
        </w:rPr>
        <w:t>Recursive Coherence Early-Warning Benchmark</w:t>
      </w:r>
    </w:p>
    <w:p>
      <w:pPr>
        <w:jc w:val="center"/>
      </w:pPr>
      <w:r>
        <w:rPr>
          <w:sz w:val="26"/>
        </w:rPr>
        <w:t>Confirmatory Results Report</w:t>
      </w:r>
    </w:p>
    <w:p>
      <w:pPr>
        <w:jc w:val="center"/>
      </w:pPr>
      <w:r>
        <w:rPr>
          <w:i/>
          <w:sz w:val="19"/>
        </w:rPr>
        <w:t>Matthew Chenoweth Wright / Monolithic • September 2026</w:t>
      </w:r>
    </w:p>
    <w:p/>
    <w:tbl>
      <w:tblPr>
        <w:tblW w:type="auto" w:w="0"/>
        <w:jc w:val="center"/>
        <w:tblLook w:firstColumn="1" w:firstRow="1" w:lastColumn="0" w:lastRow="0" w:noHBand="0" w:noVBand="1" w:val="04A0"/>
      </w:tblPr>
      <w:tblGrid>
        <w:gridCol w:w="9994"/>
      </w:tblGrid>
      <w:tr>
        <w:tc>
          <w:tcPr>
            <w:tcW w:type="dxa" w:w="9994"/>
            <w:vAlign w:val="center"/>
            <w:shd w:fill="EDEDED"/>
          </w:tcPr>
          <w:p>
            <w:pPr>
              <w:jc w:val="center"/>
            </w:pPr>
            <w:r>
              <w:rPr>
                <w:b/>
                <w:sz w:val="30"/>
              </w:rPr>
              <w:t>PRIMARY CONFIRMATORY OUTCOME: PASS</w:t>
            </w:r>
          </w:p>
          <w:p>
            <w:pPr>
              <w:jc w:val="center"/>
            </w:pPr>
            <w:r>
              <w:rPr>
                <w:b/>
              </w:rPr>
              <w:t>Predeclared criterion: median paired warning-lead advantage ≥ +10 timesteps</w:t>
              <w:br/>
            </w:r>
            <w:r>
              <w:t>Observed: +16.5 timesteps • 95% CI [3.5, 18.5] • Wilcoxon p = 0.003923</w:t>
            </w:r>
          </w:p>
        </w:tc>
      </w:tr>
    </w:tbl>
    <w:p>
      <w:pPr>
        <w:pStyle w:val="Heading1"/>
      </w:pPr>
      <w:r>
        <w:t>1. Question Tested</w:t>
      </w:r>
    </w:p>
    <w:p>
      <w:r>
        <w:t>EFMW-EXP-001 tests whether a lightweight EFMW-style recursive coherence monitor can detect impending degradation in a controlled time-series system earlier than a conventional residual exponentially weighted moving-average (EWMA) monitor, while retaining a comparable false-positive rate and minimal computational footprint.</w:t>
      </w:r>
    </w:p>
    <w:p>
      <w:pPr>
        <w:pStyle w:val="Heading1"/>
      </w:pPr>
      <w:r>
        <w:t>2. What Is Being Measured</w:t>
      </w:r>
    </w:p>
    <w:p>
      <w:r>
        <w:t>The primary measurement is warning lead time: the number of timesteps between a monitor's first valid alarm and the known degradation onset. For each held-out simulation seed, both monitors observe the same stream. Their paired difference is:</w:t>
      </w:r>
    </w:p>
    <w:p>
      <w:pPr>
        <w:jc w:val="center"/>
      </w:pPr>
      <w:r>
        <w:rPr>
          <w:b/>
          <w:sz w:val="26"/>
        </w:rPr>
        <w:t>ΔL = L_EFMW − L_baseline</w:t>
      </w:r>
    </w:p>
    <w:p>
      <w:r>
        <w:t>A positive ΔL means the EFMW monitor warned earlier. False-positive rate (FPR) is tracked because an early-warning detector could otherwise obtain apparently long lead times simply by alarming too often.</w:t>
      </w:r>
    </w:p>
    <w:p>
      <w:pPr>
        <w:pStyle w:val="Heading1"/>
      </w:pPr>
      <w:r>
        <w:t>3. Frozen Experimental Design</w:t>
      </w:r>
    </w:p>
    <w:tbl>
      <w:tblPr>
        <w:tblStyle w:val="TableGrid"/>
        <w:tblW w:type="auto" w:w="0"/>
        <w:jc w:val="center"/>
        <w:tblLook w:firstColumn="1" w:firstRow="1" w:lastColumn="0" w:lastRow="0" w:noHBand="0" w:noVBand="1" w:val="04A0"/>
      </w:tblPr>
      <w:tblGrid>
        <w:gridCol w:w="4997"/>
        <w:gridCol w:w="4997"/>
      </w:tblGrid>
      <w:tr>
        <w:tc>
          <w:tcPr>
            <w:tcW w:type="dxa" w:w="4997"/>
          </w:tcPr>
          <w:p>
            <w:r>
              <w:t>Item</w:t>
            </w:r>
          </w:p>
        </w:tc>
        <w:tc>
          <w:tcPr>
            <w:tcW w:type="dxa" w:w="4997"/>
          </w:tcPr>
          <w:p>
            <w:r>
              <w:t>Frozen specification</w:t>
            </w:r>
          </w:p>
        </w:tc>
      </w:tr>
      <w:tr>
        <w:tc>
          <w:tcPr>
            <w:tcW w:type="dxa" w:w="4997"/>
          </w:tcPr>
          <w:p>
            <w:r>
              <w:t>Calibration seeds</w:t>
            </w:r>
          </w:p>
        </w:tc>
        <w:tc>
          <w:tcPr>
            <w:tcW w:type="dxa" w:w="4997"/>
          </w:tcPr>
          <w:p>
            <w:r>
              <w:t>101–120 (n = 20)</w:t>
            </w:r>
          </w:p>
        </w:tc>
      </w:tr>
      <w:tr>
        <w:tc>
          <w:tcPr>
            <w:tcW w:type="dxa" w:w="4997"/>
          </w:tcPr>
          <w:p>
            <w:r>
              <w:t>Confirmatory seeds</w:t>
            </w:r>
          </w:p>
        </w:tc>
        <w:tc>
          <w:tcPr>
            <w:tcW w:type="dxa" w:w="4997"/>
          </w:tcPr>
          <w:p>
            <w:r>
              <w:t>1001–1040 (n = 40), held out</w:t>
            </w:r>
          </w:p>
        </w:tc>
      </w:tr>
      <w:tr>
        <w:tc>
          <w:tcPr>
            <w:tcW w:type="dxa" w:w="4997"/>
          </w:tcPr>
          <w:p>
            <w:r>
              <w:t>Baseline</w:t>
            </w:r>
          </w:p>
        </w:tc>
        <w:tc>
          <w:tcPr>
            <w:tcW w:type="dxa" w:w="4997"/>
          </w:tcPr>
          <w:p>
            <w:r>
              <w:t>Conventional residual EWMA monitor</w:t>
            </w:r>
          </w:p>
        </w:tc>
      </w:tr>
      <w:tr>
        <w:tc>
          <w:tcPr>
            <w:tcW w:type="dxa" w:w="4997"/>
          </w:tcPr>
          <w:p>
            <w:r>
              <w:t>Challenger</w:t>
            </w:r>
          </w:p>
        </w:tc>
        <w:tc>
          <w:tcPr>
            <w:tcW w:type="dxa" w:w="4997"/>
          </w:tcPr>
          <w:p>
            <w:r>
              <w:t>EFMW-style recursive coherence monitor</w:t>
            </w:r>
          </w:p>
        </w:tc>
      </w:tr>
      <w:tr>
        <w:tc>
          <w:tcPr>
            <w:tcW w:type="dxa" w:w="4997"/>
          </w:tcPr>
          <w:p>
            <w:r>
              <w:t>Primary success criterion</w:t>
            </w:r>
          </w:p>
        </w:tc>
        <w:tc>
          <w:tcPr>
            <w:tcW w:type="dxa" w:w="4997"/>
          </w:tcPr>
          <w:p>
            <w:r>
              <w:t>Median paired warning-lead advantage ≥ +10 timesteps</w:t>
            </w:r>
          </w:p>
        </w:tc>
      </w:tr>
      <w:tr>
        <w:tc>
          <w:tcPr>
            <w:tcW w:type="dxa" w:w="4997"/>
          </w:tcPr>
          <w:p>
            <w:r>
              <w:t>Baseline threshold</w:t>
            </w:r>
          </w:p>
        </w:tc>
        <w:tc>
          <w:tcPr>
            <w:tcW w:type="dxa" w:w="4997"/>
          </w:tcPr>
          <w:p>
            <w:r>
              <w:t>0.0455502027202869</w:t>
            </w:r>
          </w:p>
        </w:tc>
      </w:tr>
      <w:tr>
        <w:tc>
          <w:tcPr>
            <w:tcW w:type="dxa" w:w="4997"/>
          </w:tcPr>
          <w:p>
            <w:r>
              <w:t>EFMW threshold</w:t>
            </w:r>
          </w:p>
        </w:tc>
        <w:tc>
          <w:tcPr>
            <w:tcW w:type="dxa" w:w="4997"/>
          </w:tcPr>
          <w:p>
            <w:r>
              <w:t>0.00834791535743751</w:t>
            </w:r>
          </w:p>
        </w:tc>
      </w:tr>
    </w:tbl>
    <w:p>
      <w:r>
        <w:t>The repository README records the design as frozen before confirmatory execution and explicitly states that EFMW receives no credit for explaining a result it did not predict. The experiment is scoped as a proof-of-method benchmark for recursive coherence monitoring, not as a general validation of EFMW physics.</w:t>
      </w:r>
    </w:p>
    <w:p>
      <w:pPr>
        <w:pStyle w:val="Heading1"/>
      </w:pPr>
      <w:r>
        <w:t>4. Monitor Under Test</w:t>
      </w:r>
    </w:p>
    <w:p>
      <w:r>
        <w:t>The minimal recursive coherence statistic used in the frozen simulator can be summarized as follows:</w:t>
      </w:r>
    </w:p>
    <w:p>
      <w:pPr>
        <w:jc w:val="center"/>
      </w:pPr>
      <w:r>
        <w:rPr>
          <w:rFonts w:ascii="Cambria Math" w:hAnsi="Cambria Math"/>
          <w:sz w:val="24"/>
        </w:rPr>
        <w:t>rₜ = yₜ − (0.82 yₜ₋₁ + uₜ)</w:t>
      </w:r>
    </w:p>
    <w:p>
      <w:pPr>
        <w:jc w:val="center"/>
      </w:pPr>
      <w:r>
        <w:rPr>
          <w:rFonts w:ascii="Cambria Math" w:hAnsi="Cambria Math"/>
          <w:sz w:val="24"/>
        </w:rPr>
        <w:t>mₜ = 0.97 mₜ₋₁ + 0.03 rₜ</w:t>
      </w:r>
    </w:p>
    <w:p>
      <w:pPr>
        <w:jc w:val="center"/>
      </w:pPr>
      <w:r>
        <w:rPr>
          <w:rFonts w:ascii="Cambria Math" w:hAnsi="Cambria Math"/>
          <w:sz w:val="24"/>
        </w:rPr>
        <w:t>Cₜ = |mₜ|</w:t>
      </w:r>
    </w:p>
    <w:p>
      <w:r>
        <w:t>Conceptually, the residual measures prediction error, the recursive state mₜ accumulates persistent directional structure in that error, and Cₜ is the monitored coherence magnitude. The comparison asks whether this persistence-sensitive statistic provides useful warning earlier than residual EWMA.</w:t>
      </w:r>
    </w:p>
    <w:p>
      <w:pPr>
        <w:pStyle w:val="Heading1"/>
      </w:pPr>
      <w:r>
        <w:t>5. Calibration Result</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Metric</w:t>
            </w:r>
          </w:p>
        </w:tc>
        <w:tc>
          <w:tcPr>
            <w:tcW w:type="dxa" w:w="3331"/>
          </w:tcPr>
          <w:p>
            <w:r>
              <w:t>Baseline EWMA</w:t>
            </w:r>
          </w:p>
        </w:tc>
        <w:tc>
          <w:tcPr>
            <w:tcW w:type="dxa" w:w="3331"/>
          </w:tcPr>
          <w:p>
            <w:r>
              <w:t>EFMW</w:t>
            </w:r>
          </w:p>
        </w:tc>
      </w:tr>
      <w:tr>
        <w:tc>
          <w:tcPr>
            <w:tcW w:type="dxa" w:w="3331"/>
          </w:tcPr>
          <w:p>
            <w:r>
              <w:t>Median warning lead</w:t>
            </w:r>
          </w:p>
        </w:tc>
        <w:tc>
          <w:tcPr>
            <w:tcW w:type="dxa" w:w="3331"/>
          </w:tcPr>
          <w:p>
            <w:r>
              <w:t>41.0</w:t>
            </w:r>
          </w:p>
        </w:tc>
        <w:tc>
          <w:tcPr>
            <w:tcW w:type="dxa" w:w="3331"/>
          </w:tcPr>
          <w:p>
            <w:r>
              <w:t>80.0</w:t>
            </w:r>
          </w:p>
        </w:tc>
      </w:tr>
      <w:tr>
        <w:tc>
          <w:tcPr>
            <w:tcW w:type="dxa" w:w="3331"/>
          </w:tcPr>
          <w:p>
            <w:r>
              <w:t>Median paired EFMW gain</w:t>
            </w:r>
          </w:p>
        </w:tc>
        <w:tc>
          <w:tcPr>
            <w:tcW w:type="dxa" w:w="3331"/>
          </w:tcPr>
          <w:p>
            <w:r>
              <w:t>—</w:t>
            </w:r>
          </w:p>
        </w:tc>
        <w:tc>
          <w:tcPr>
            <w:tcW w:type="dxa" w:w="3331"/>
          </w:tcPr>
          <w:p>
            <w:r>
              <w:t>+33.5</w:t>
            </w:r>
          </w:p>
        </w:tc>
      </w:tr>
    </w:tbl>
    <w:p>
      <w:r>
        <w:t>Calibration was used to set thresholds and characterize the monitor; it was not counted as confirmatory evidence.</w:t>
      </w:r>
    </w:p>
    <w:p>
      <w:pPr>
        <w:pStyle w:val="Heading1"/>
      </w:pPr>
      <w:r>
        <w:t>6. Held-Out Confirmatory Result</w:t>
      </w:r>
    </w:p>
    <w:tbl>
      <w:tblPr>
        <w:tblStyle w:val="TableGrid"/>
        <w:tblW w:type="auto" w:w="0"/>
        <w:jc w:val="center"/>
        <w:tblLook w:firstColumn="1" w:firstRow="1" w:lastColumn="0" w:lastRow="0" w:noHBand="0" w:noVBand="1" w:val="04A0"/>
      </w:tblPr>
      <w:tblGrid>
        <w:gridCol w:w="4997"/>
        <w:gridCol w:w="4997"/>
      </w:tblGrid>
      <w:tr>
        <w:tc>
          <w:tcPr>
            <w:tcW w:type="dxa" w:w="4997"/>
          </w:tcPr>
          <w:p>
            <w:r>
              <w:t>Metric</w:t>
            </w:r>
          </w:p>
        </w:tc>
        <w:tc>
          <w:tcPr>
            <w:tcW w:type="dxa" w:w="4997"/>
          </w:tcPr>
          <w:p>
            <w:r>
              <w:t>Observed result</w:t>
            </w:r>
          </w:p>
        </w:tc>
      </w:tr>
      <w:tr>
        <w:tc>
          <w:tcPr>
            <w:tcW w:type="dxa" w:w="4997"/>
          </w:tcPr>
          <w:p>
            <w:r>
              <w:t>Baseline median warning lead</w:t>
            </w:r>
          </w:p>
        </w:tc>
        <w:tc>
          <w:tcPr>
            <w:tcW w:type="dxa" w:w="4997"/>
          </w:tcPr>
          <w:p>
            <w:r>
              <w:t>59.0 timesteps</w:t>
            </w:r>
          </w:p>
        </w:tc>
      </w:tr>
      <w:tr>
        <w:tc>
          <w:tcPr>
            <w:tcW w:type="dxa" w:w="4997"/>
          </w:tcPr>
          <w:p>
            <w:r>
              <w:t>EFMW median warning lead</w:t>
            </w:r>
          </w:p>
        </w:tc>
        <w:tc>
          <w:tcPr>
            <w:tcW w:type="dxa" w:w="4997"/>
          </w:tcPr>
          <w:p>
            <w:r>
              <w:t>78.0 timesteps</w:t>
            </w:r>
          </w:p>
        </w:tc>
      </w:tr>
      <w:tr>
        <w:tc>
          <w:tcPr>
            <w:tcW w:type="dxa" w:w="4997"/>
          </w:tcPr>
          <w:p>
            <w:r>
              <w:t>Median paired warning-lead gain</w:t>
            </w:r>
          </w:p>
        </w:tc>
        <w:tc>
          <w:tcPr>
            <w:tcW w:type="dxa" w:w="4997"/>
          </w:tcPr>
          <w:p>
            <w:r>
              <w:t>+16.5 timesteps</w:t>
            </w:r>
          </w:p>
        </w:tc>
      </w:tr>
      <w:tr>
        <w:tc>
          <w:tcPr>
            <w:tcW w:type="dxa" w:w="4997"/>
          </w:tcPr>
          <w:p>
            <w:r>
              <w:t>95% confidence interval</w:t>
            </w:r>
          </w:p>
        </w:tc>
        <w:tc>
          <w:tcPr>
            <w:tcW w:type="dxa" w:w="4997"/>
          </w:tcPr>
          <w:p>
            <w:r>
              <w:t>[3.5, 18.5] timesteps</w:t>
            </w:r>
          </w:p>
        </w:tc>
      </w:tr>
      <w:tr>
        <w:tc>
          <w:tcPr>
            <w:tcW w:type="dxa" w:w="4997"/>
          </w:tcPr>
          <w:p>
            <w:r>
              <w:t>Wilcoxon paired test</w:t>
            </w:r>
          </w:p>
        </w:tc>
        <w:tc>
          <w:tcPr>
            <w:tcW w:type="dxa" w:w="4997"/>
          </w:tcPr>
          <w:p>
            <w:r>
              <w:t>p = 0.003923</w:t>
            </w:r>
          </w:p>
        </w:tc>
      </w:tr>
      <w:tr>
        <w:tc>
          <w:tcPr>
            <w:tcW w:type="dxa" w:w="4997"/>
          </w:tcPr>
          <w:p>
            <w:r>
              <w:t>EFMW win rate</w:t>
            </w:r>
          </w:p>
        </w:tc>
        <w:tc>
          <w:tcPr>
            <w:tcW w:type="dxa" w:w="4997"/>
          </w:tcPr>
          <w:p>
            <w:r>
              <w:t>75% (30 of 40 seeds)</w:t>
            </w:r>
          </w:p>
        </w:tc>
      </w:tr>
      <w:tr>
        <w:tc>
          <w:tcPr>
            <w:tcW w:type="dxa" w:w="4997"/>
          </w:tcPr>
          <w:p>
            <w:r>
              <w:t>Baseline false-positive rate</w:t>
            </w:r>
          </w:p>
        </w:tc>
        <w:tc>
          <w:tcPr>
            <w:tcW w:type="dxa" w:w="4997"/>
          </w:tcPr>
          <w:p>
            <w:r>
              <w:t>5.13%</w:t>
            </w:r>
          </w:p>
        </w:tc>
      </w:tr>
      <w:tr>
        <w:tc>
          <w:tcPr>
            <w:tcW w:type="dxa" w:w="4997"/>
          </w:tcPr>
          <w:p>
            <w:r>
              <w:t>EFMW false-positive rate</w:t>
            </w:r>
          </w:p>
        </w:tc>
        <w:tc>
          <w:tcPr>
            <w:tcW w:type="dxa" w:w="4997"/>
          </w:tcPr>
          <w:p>
            <w:r>
              <w:t>6.15%</w:t>
            </w:r>
          </w:p>
        </w:tc>
      </w:tr>
      <w:tr>
        <w:tc>
          <w:tcPr>
            <w:tcW w:type="dxa" w:w="4997"/>
          </w:tcPr>
          <w:p>
            <w:r>
              <w:t>Predeclared pass threshold</w:t>
            </w:r>
          </w:p>
        </w:tc>
        <w:tc>
          <w:tcPr>
            <w:tcW w:type="dxa" w:w="4997"/>
          </w:tcPr>
          <w:p>
            <w:r>
              <w:t>+10 timesteps</w:t>
            </w:r>
          </w:p>
        </w:tc>
      </w:tr>
      <w:tr>
        <w:tc>
          <w:tcPr>
            <w:tcW w:type="dxa" w:w="4997"/>
          </w:tcPr>
          <w:p>
            <w:r>
              <w:t>Primary outcome</w:t>
            </w:r>
          </w:p>
        </w:tc>
        <w:tc>
          <w:tcPr>
            <w:tcW w:type="dxa" w:w="4997"/>
          </w:tcPr>
          <w:p>
            <w:r>
              <w:t>PASS</w:t>
            </w:r>
          </w:p>
        </w:tc>
      </w:tr>
    </w:tbl>
    <w:p>
      <w:r>
        <w:t>The observed median paired advantage of +16.5 timesteps exceeded the frozen +10-timestep success criterion by 6.5 timesteps. The paired nonparametric test indicates that the observed advantage is unlikely to be explained by a symmetric zero-median paired-difference distribution under the stated benchmark.</w:t>
      </w:r>
    </w:p>
    <w:p>
      <w:pPr>
        <w:pStyle w:val="Heading1"/>
      </w:pPr>
      <w:r>
        <w:t>7. Engineering Efficiency Follow-Up</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tcPr>
          <w:p>
            <w:r>
              <w:t>Monitor</w:t>
            </w:r>
          </w:p>
        </w:tc>
        <w:tc>
          <w:tcPr>
            <w:tcW w:type="dxa" w:w="2498"/>
          </w:tcPr>
          <w:p>
            <w:r>
              <w:t>Median lead</w:t>
            </w:r>
          </w:p>
        </w:tc>
        <w:tc>
          <w:tcPr>
            <w:tcW w:type="dxa" w:w="2498"/>
          </w:tcPr>
          <w:p>
            <w:r>
              <w:t>FPR</w:t>
            </w:r>
          </w:p>
        </w:tc>
        <w:tc>
          <w:tcPr>
            <w:tcW w:type="dxa" w:w="2498"/>
          </w:tcPr>
          <w:p>
            <w:r>
              <w:t>Relative runtime</w:t>
            </w:r>
          </w:p>
        </w:tc>
      </w:tr>
      <w:tr>
        <w:tc>
          <w:tcPr>
            <w:tcW w:type="dxa" w:w="2498"/>
          </w:tcPr>
          <w:p>
            <w:r>
              <w:t>Residual EWMA</w:t>
            </w:r>
          </w:p>
        </w:tc>
        <w:tc>
          <w:tcPr>
            <w:tcW w:type="dxa" w:w="2498"/>
          </w:tcPr>
          <w:p>
            <w:r>
              <w:t>59.0</w:t>
            </w:r>
          </w:p>
        </w:tc>
        <w:tc>
          <w:tcPr>
            <w:tcW w:type="dxa" w:w="2498"/>
          </w:tcPr>
          <w:p>
            <w:r>
              <w:t>5.13%</w:t>
            </w:r>
          </w:p>
        </w:tc>
        <w:tc>
          <w:tcPr>
            <w:tcW w:type="dxa" w:w="2498"/>
          </w:tcPr>
          <w:p>
            <w:r>
              <w:t>1.00×</w:t>
            </w:r>
          </w:p>
        </w:tc>
      </w:tr>
      <w:tr>
        <w:tc>
          <w:tcPr>
            <w:tcW w:type="dxa" w:w="2498"/>
          </w:tcPr>
          <w:p>
            <w:r>
              <w:t>RMS-EWMA</w:t>
            </w:r>
          </w:p>
        </w:tc>
        <w:tc>
          <w:tcPr>
            <w:tcW w:type="dxa" w:w="2498"/>
          </w:tcPr>
          <w:p>
            <w:r>
              <w:t>64.5</w:t>
            </w:r>
          </w:p>
        </w:tc>
        <w:tc>
          <w:tcPr>
            <w:tcW w:type="dxa" w:w="2498"/>
          </w:tcPr>
          <w:p>
            <w:r>
              <w:t>4.86%</w:t>
            </w:r>
          </w:p>
        </w:tc>
        <w:tc>
          <w:tcPr>
            <w:tcW w:type="dxa" w:w="2498"/>
          </w:tcPr>
          <w:p>
            <w:r>
              <w:t>~0.91×</w:t>
            </w:r>
          </w:p>
        </w:tc>
      </w:tr>
      <w:tr>
        <w:tc>
          <w:tcPr>
            <w:tcW w:type="dxa" w:w="2498"/>
          </w:tcPr>
          <w:p>
            <w:r>
              <w:t>EFMW</w:t>
            </w:r>
          </w:p>
        </w:tc>
        <w:tc>
          <w:tcPr>
            <w:tcW w:type="dxa" w:w="2498"/>
          </w:tcPr>
          <w:p>
            <w:r>
              <w:t>78.0</w:t>
            </w:r>
          </w:p>
        </w:tc>
        <w:tc>
          <w:tcPr>
            <w:tcW w:type="dxa" w:w="2498"/>
          </w:tcPr>
          <w:p>
            <w:r>
              <w:t>6.05%</w:t>
            </w:r>
          </w:p>
        </w:tc>
        <w:tc>
          <w:tcPr>
            <w:tcW w:type="dxa" w:w="2498"/>
          </w:tcPr>
          <w:p>
            <w:r>
              <w:t>1.002×</w:t>
            </w:r>
          </w:p>
        </w:tc>
      </w:tr>
      <w:tr>
        <w:tc>
          <w:tcPr>
            <w:tcW w:type="dxa" w:w="2498"/>
          </w:tcPr>
          <w:p>
            <w:r>
              <w:t>CUSUM</w:t>
            </w:r>
          </w:p>
        </w:tc>
        <w:tc>
          <w:tcPr>
            <w:tcW w:type="dxa" w:w="2498"/>
          </w:tcPr>
          <w:p>
            <w:r>
              <w:t>79.5</w:t>
            </w:r>
          </w:p>
        </w:tc>
        <w:tc>
          <w:tcPr>
            <w:tcW w:type="dxa" w:w="2498"/>
          </w:tcPr>
          <w:p>
            <w:r>
              <w:t>6.89%</w:t>
            </w:r>
          </w:p>
        </w:tc>
        <w:tc>
          <w:tcPr>
            <w:tcW w:type="dxa" w:w="2498"/>
          </w:tcPr>
          <w:p>
            <w:r>
              <w:t>~1.45×</w:t>
            </w:r>
          </w:p>
        </w:tc>
      </w:tr>
    </w:tbl>
    <w:p>
      <w:r>
        <w:t>In the follow-up efficiency comparison on the same frozen simulator, EFMW retained substantially earlier warning than residual EWMA while requiring essentially the same runtime (+0.2%). It approached the warning lead of CUSUM while using roughly 69% of CUSUM's runtime.</w:t>
      </w:r>
    </w:p>
    <w:p>
      <w:pPr>
        <w:pStyle w:val="Heading1"/>
      </w:pPr>
      <w:r>
        <w:t>8. Interpretation</w:t>
      </w:r>
    </w:p>
    <w:p>
      <w:r>
        <w:t>Within this synthetic, frozen benchmark, the result supports a narrow engineering claim: a minimal recursive coherence statistic detected impending control degradation materially earlier than the specified residual-EWMA baseline. The result is strongest as evidence that the monitoring construction is worth testing on independent streaming and hardware data.</w:t>
      </w:r>
    </w:p>
    <w:p>
      <w:r>
        <w:t>It does not establish that EFMW is a general physical theory, validate the canonical EFMW field equation, or demonstrate performance across arbitrary real-world systems. External replication, independent datasets, hardware-level timing/energy measurements, and comparison against additional tuned change-detection methods remain necessary.</w:t>
      </w:r>
    </w:p>
    <w:p>
      <w:pPr>
        <w:pStyle w:val="Heading1"/>
      </w:pPr>
      <w:r>
        <w:t>9. Reproducibility and Repository Status</w:t>
      </w:r>
    </w:p>
    <w:p>
      <w:r>
        <w:t>Repository: github.com/enuminous/EFMW-EXP-001. The repository contains the frozen README, calibration and confirmatory seed lists, thresholds, analysis plan, simulator, monitor code, confirmatory runner, hashes, and supporting CSV files. At the time this report was prepared, the repository's public RESULTS.csv contained only its header row. Therefore the confirmatory numerical results reported here should be committed to the repository with per-seed output and analysis artifacts before this document is treated as the repository's canonical public results record.</w:t>
      </w:r>
    </w:p>
    <w:p>
      <w:pPr>
        <w:pStyle w:val="Heading1"/>
      </w:pPr>
      <w:r>
        <w:t>10. Recommended Canonical Claim</w:t>
      </w:r>
    </w:p>
    <w:p>
      <w:r>
        <w:rPr>
          <w:b/>
        </w:rPr>
        <w:t>“On 40 frozen held-out synthetic control-degradation trials, the EFMW-style recursive coherence monitor achieved a median paired warning-lead advantage of +16.5 timesteps over residual EWMA (95% CI [3.5, 18.5]; Wilcoxon p = 0.003923), exceeding the preregistered +10-timestep success criterion, with a modestly higher false-positive rate.”</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EFMW-EXP-001 • Confirmatory Results Report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