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000000"/>
          <w:sz w:val="40"/>
        </w:rPr>
        <w:t>Five Experiments for Testing EFMW Coherence Monitoring</w:t>
      </w:r>
    </w:p>
    <w:p>
      <w:pPr>
        <w:spacing w:after="220"/>
        <w:jc w:val="center"/>
      </w:pPr>
      <w:r>
        <w:rPr>
          <w:rFonts w:ascii="Arial" w:hAnsi="Arial"/>
          <w:color w:val="666666"/>
          <w:sz w:val="22"/>
        </w:rPr>
        <w:t>A validation program for recursive control degradation warnings</w:t>
      </w:r>
    </w:p>
    <w:p>
      <w:pPr>
        <w:spacing w:after="20"/>
        <w:jc w:val="center"/>
      </w:pPr>
      <w:r>
        <w:rPr>
          <w:rFonts w:ascii="Arial" w:hAnsi="Arial"/>
          <w:b/>
          <w:sz w:val="21"/>
        </w:rPr>
        <w:t>Matthew Chenoweth Wright</w:t>
      </w:r>
    </w:p>
    <w:p>
      <w:pPr>
        <w:spacing w:after="20"/>
        <w:jc w:val="center"/>
      </w:pPr>
      <w:r>
        <w:rPr>
          <w:rFonts w:ascii="Arial" w:hAnsi="Arial"/>
          <w:color w:val="666666"/>
          <w:sz w:val="19"/>
        </w:rPr>
        <w:t>Monolithic LLC</w:t>
      </w:r>
    </w:p>
    <w:p>
      <w:pPr>
        <w:spacing w:after="240"/>
        <w:jc w:val="center"/>
      </w:pPr>
      <w:r>
        <w:rPr>
          <w:rFonts w:ascii="Arial" w:hAnsi="Arial"/>
          <w:color w:val="666666"/>
          <w:sz w:val="19"/>
        </w:rPr>
        <w:t>17 September 2026</w:t>
      </w:r>
    </w:p>
    <w:p>
      <w:pPr>
        <w:pStyle w:val="Heading1"/>
      </w:pPr>
      <w:r>
        <w:rPr>
          <w:rFonts w:ascii="Times New Roman" w:hAnsi="Times New Roman"/>
          <w:b/>
          <w:i w:val="0"/>
          <w:sz w:val="21"/>
        </w:rPr>
        <w:t>Abstract</w:t>
      </w:r>
    </w:p>
    <w:p>
      <w:r>
        <w:rPr>
          <w:rFonts w:ascii="Times New Roman" w:hAnsi="Times New Roman"/>
          <w:b w:val="0"/>
          <w:i w:val="0"/>
          <w:sz w:val="21"/>
        </w:rPr>
        <w:t>The five experiments with the highest immediate information value in the EFMW program are an independent replication on real streaming telemetry, mechanism ablation tomography, hardware-in-the-loop control degradation, an independent laboratory or code implementation, and a cross-domain held-out test. Together they ask a narrow question that can be answered without assuming that the 102-equation corpus is established physics: does an EFMW-style recursive coherence monitor provide a reproducible earlier warning of impending control degradation? An internal synthetic benchmark is encouraging but bounded. Across 40 held-out seeds, the reported median paired warning-lead gain was 16.5 time steps, with a 95 percent interval of 3.5 to 18.5 and a 75 percent win rate. That result is a proof-of-method benchmark, not an independent validation of EFMW or its physical field equations. This paper turns the benchmark into a preregistered validation program. It fixes the monitor, data boundary, baselines, false-alarm budget, compute budget, ablations, and replication rules before new outcomes are observed. A positive result would support a conditional engineering claim about recursive monitoring. It would not, by itself, confirm scalar propagation, gravity coupling, cosmological rotation, or a universal EFMW law.</w:t>
      </w:r>
    </w:p>
    <w:p>
      <w:pPr>
        <w:spacing w:after="200"/>
      </w:pPr>
      <w:r>
        <w:rPr>
          <w:rFonts w:ascii="Times New Roman" w:hAnsi="Times New Roman"/>
          <w:b w:val="0"/>
          <w:i/>
          <w:sz w:val="21"/>
        </w:rPr>
        <w:t>Keywords: EFMW, coherence monitoring, control degradation, early warning, replication, ablation, held-out validation</w:t>
      </w:r>
    </w:p>
    <w:p>
      <w:pPr>
        <w:pStyle w:val="Heading1"/>
      </w:pPr>
      <w:r>
        <w:rPr>
          <w:rFonts w:ascii="Times New Roman" w:hAnsi="Times New Roman"/>
          <w:b w:val="0"/>
          <w:i w:val="0"/>
          <w:sz w:val="21"/>
        </w:rPr>
        <w:t>1 Introduction</w:t>
      </w:r>
    </w:p>
    <w:p>
      <w:r>
        <w:rPr>
          <w:rFonts w:ascii="Times New Roman" w:hAnsi="Times New Roman"/>
          <w:b w:val="0"/>
          <w:i w:val="0"/>
          <w:sz w:val="21"/>
        </w:rPr>
        <w:t>EFMW is represented in a monolithic corpus of 102 equations and an associated analysis program. The corpus has been preserved, typed, and partially checked in Lean. Those achievements answer questions about provenance and formal structure. They do not answer whether the proposed quantities correspond to measurable effects in nature. The project therefore needs an experimental sequence that can separate a useful monitor from a physical law.</w:t>
      </w:r>
    </w:p>
    <w:p>
      <w:r>
        <w:rPr>
          <w:rFonts w:ascii="Times New Roman" w:hAnsi="Times New Roman"/>
          <w:b w:val="0"/>
          <w:i w:val="0"/>
          <w:sz w:val="21"/>
        </w:rPr>
        <w:t>The most actionable branch is the coherence and control branch. It proposes that a recursively accumulated departure from a predicted trajectory can provide advance warning before a controlled system loses performance. This branch can be tested with time-ordered telemetry, independent event labels, and closed-loop testbeds. The other branches require additional work before their most ambitious tests are decisive, including operational source-to-detector couplings, dimensional and covariance closure, and observables that cannot be absorbed into ordinary calibration or curvature parameters. They remain important, but they should not be used to compensate for an unresolved L4 result.</w:t>
      </w:r>
    </w:p>
    <w:p>
      <w:r>
        <w:rPr>
          <w:rFonts w:ascii="Times New Roman" w:hAnsi="Times New Roman"/>
          <w:b w:val="0"/>
          <w:i w:val="0"/>
          <w:sz w:val="21"/>
        </w:rPr>
        <w:t>This paper selects five methods from the 23-experiment portfolio. The ranking is based on discriminating power, feasibility, and resistance to self-confirmation. Each method can fail cleanly. Each also addresses a different failure mode: simulator dependence, generic signal processing, laboratory irreproducibility, hardware mismatch, or domain overfitting.</w:t>
      </w:r>
    </w:p>
    <w:p>
      <w:pPr>
        <w:pStyle w:val="Heading1"/>
      </w:pPr>
      <w:r>
        <w:rPr>
          <w:rFonts w:ascii="Times New Roman" w:hAnsi="Times New Roman"/>
          <w:b w:val="0"/>
          <w:i w:val="0"/>
          <w:sz w:val="21"/>
        </w:rPr>
        <w:t>2 Scope and evidence standard</w:t>
      </w:r>
    </w:p>
    <w:p>
      <w:r>
        <w:rPr>
          <w:rFonts w:ascii="Times New Roman" w:hAnsi="Times New Roman"/>
          <w:b w:val="0"/>
          <w:i w:val="0"/>
          <w:sz w:val="21"/>
        </w:rPr>
        <w:t>The program uses four evidence states. They must not be collapsed into a single claim of confirmation.</w:t>
      </w:r>
    </w:p>
    <w:p>
      <w:pPr>
        <w:pStyle w:val="Caption"/>
        <w:jc w:val="left"/>
      </w:pPr>
      <w:r>
        <w:t>Table 1. Evidence states used in the EFMW program</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757"/>
            <w:shd w:fill="1F4E79"/>
            <w:tcMar>
              <w:top w:w="90" w:type="dxa"/>
              <w:start w:w="110" w:type="dxa"/>
              <w:bottom w:w="90" w:type="dxa"/>
              <w:end w:w="110" w:type="dxa"/>
            </w:tcMar>
            <w:vAlign w:val="center"/>
          </w:tcPr>
          <w:p>
            <w:pPr>
              <w:spacing w:after="0"/>
            </w:pPr>
            <w:r>
              <w:rPr>
                <w:rFonts w:ascii="Arial" w:hAnsi="Arial"/>
                <w:b/>
                <w:color w:val="FFFFFF"/>
                <w:sz w:val="16"/>
              </w:rPr>
              <w:t>State</w:t>
            </w:r>
          </w:p>
        </w:tc>
        <w:tc>
          <w:tcPr>
            <w:tcW w:type="dxa" w:w="4320"/>
            <w:shd w:fill="1F4E79"/>
            <w:tcMar>
              <w:top w:w="90" w:type="dxa"/>
              <w:start w:w="110" w:type="dxa"/>
              <w:bottom w:w="90" w:type="dxa"/>
              <w:end w:w="110" w:type="dxa"/>
            </w:tcMar>
            <w:vAlign w:val="center"/>
          </w:tcPr>
          <w:p>
            <w:pPr>
              <w:spacing w:after="0"/>
            </w:pPr>
            <w:r>
              <w:rPr>
                <w:rFonts w:ascii="Arial" w:hAnsi="Arial"/>
                <w:b/>
                <w:color w:val="FFFFFF"/>
                <w:sz w:val="16"/>
              </w:rPr>
              <w:t>What it establishes</w:t>
            </w:r>
          </w:p>
        </w:tc>
        <w:tc>
          <w:tcPr>
            <w:tcW w:type="dxa" w:w="3960"/>
            <w:shd w:fill="1F4E79"/>
            <w:tcMar>
              <w:top w:w="90" w:type="dxa"/>
              <w:start w:w="110" w:type="dxa"/>
              <w:bottom w:w="90" w:type="dxa"/>
              <w:end w:w="110" w:type="dxa"/>
            </w:tcMar>
            <w:vAlign w:val="center"/>
          </w:tcPr>
          <w:p>
            <w:pPr>
              <w:spacing w:after="0"/>
            </w:pPr>
            <w:r>
              <w:rPr>
                <w:rFonts w:ascii="Arial" w:hAnsi="Arial"/>
                <w:b/>
                <w:color w:val="FFFFFF"/>
                <w:sz w:val="16"/>
              </w:rPr>
              <w:t>What it does not establish</w:t>
            </w:r>
          </w:p>
        </w:tc>
      </w:tr>
      <w:tr>
        <w:tc>
          <w:tcPr>
            <w:tcW w:type="dxa" w:w="1757"/>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Source preserved</w:t>
            </w:r>
          </w:p>
        </w:tc>
        <w:tc>
          <w:tcPr>
            <w:tcW w:type="dxa" w:w="43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equation set, metadata, hashes, and identifiers are fixed and recoverable.</w:t>
            </w:r>
          </w:p>
        </w:tc>
        <w:tc>
          <w:tcPr>
            <w:tcW w:type="dxa" w:w="396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That the equations are true or complete.</w:t>
            </w:r>
          </w:p>
        </w:tc>
      </w:tr>
      <w:tr>
        <w:tc>
          <w:tcPr>
            <w:tcW w:type="dxa" w:w="1757"/>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Software tested</w:t>
            </w:r>
          </w:p>
        </w:tc>
        <w:tc>
          <w:tcPr>
            <w:tcW w:type="dxa" w:w="43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An implementation runs and passes its declared tests.</w:t>
            </w:r>
          </w:p>
        </w:tc>
        <w:tc>
          <w:tcPr>
            <w:tcW w:type="dxa" w:w="396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That the implementation captures a natural effect.</w:t>
            </w:r>
          </w:p>
        </w:tc>
      </w:tr>
      <w:tr>
        <w:tc>
          <w:tcPr>
            <w:tcW w:type="dxa" w:w="1757"/>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Formally proved</w:t>
            </w:r>
          </w:p>
        </w:tc>
        <w:tc>
          <w:tcPr>
            <w:tcW w:type="dxa" w:w="43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 precisely stated proposition follows from the formalized assumptions.</w:t>
            </w:r>
          </w:p>
        </w:tc>
        <w:tc>
          <w:tcPr>
            <w:tcW w:type="dxa" w:w="396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That the assumptions describe the physical world.</w:t>
            </w:r>
          </w:p>
        </w:tc>
      </w:tr>
      <w:tr>
        <w:tc>
          <w:tcPr>
            <w:tcW w:type="dxa" w:w="1757"/>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Empirically validated</w:t>
            </w:r>
          </w:p>
        </w:tc>
        <w:tc>
          <w:tcPr>
            <w:tcW w:type="dxa" w:w="43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An independently measured, preregistered prediction survives controls and replication.</w:t>
            </w:r>
          </w:p>
        </w:tc>
        <w:tc>
          <w:tcPr>
            <w:tcW w:type="dxa" w:w="396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That every equation or law in the corpus is confirmed.</w:t>
            </w:r>
          </w:p>
        </w:tc>
      </w:tr>
    </w:tbl>
    <w:p>
      <w:pPr>
        <w:spacing w:after="0"/>
      </w:pPr>
    </w:p>
    <w:p>
      <w:r>
        <w:rPr>
          <w:rFonts w:ascii="Times New Roman" w:hAnsi="Times New Roman"/>
          <w:b w:val="0"/>
          <w:i w:val="0"/>
          <w:sz w:val="21"/>
        </w:rPr>
        <w:t>The current EFMW record is strongest in the first three states and remains incomplete in the fourth. The internal EXP-001 benchmark is valuable because it freezes a specific recursive monitor and reports a measurable comparison. It is not a substitute for real telemetry, an independent implementation, or a physical source-to-detector test.</w:t>
      </w:r>
    </w:p>
    <w:p>
      <w:pPr>
        <w:pStyle w:val="Heading2"/>
      </w:pPr>
      <w:r>
        <w:rPr>
          <w:rFonts w:ascii="Times New Roman" w:hAnsi="Times New Roman"/>
          <w:b w:val="0"/>
          <w:i w:val="0"/>
          <w:sz w:val="21"/>
        </w:rPr>
        <w:t>Common protocol</w:t>
      </w:r>
    </w:p>
    <w:p>
      <w:r>
        <w:rPr>
          <w:rFonts w:ascii="Times New Roman" w:hAnsi="Times New Roman"/>
          <w:b w:val="0"/>
          <w:i w:val="0"/>
          <w:sz w:val="21"/>
        </w:rPr>
        <w:t>All five methods follow the same anti-circularity rules. The official packet must be immutable before data collection begins. The packet should contain equation identifiers, parameter values, units, domains, exclusions, event-label rules, analysis code, thresholds, ablations, a SHA-256 manifest, and a machine-readable results ledger.</w:t>
      </w:r>
    </w:p>
    <w:p>
      <w:pPr>
        <w:pStyle w:val="ListNumber"/>
        <w:spacing w:after="60" w:line="252" w:lineRule="auto"/>
      </w:pPr>
      <w:r>
        <w:rPr>
          <w:rFonts w:ascii="Times New Roman" w:hAnsi="Times New Roman"/>
          <w:sz w:val="20"/>
        </w:rPr>
        <w:t>Freeze the exact monitor and all thresholds before inspecting the test outcomes.</w:t>
      </w:r>
    </w:p>
    <w:p>
      <w:pPr>
        <w:pStyle w:val="ListNumber"/>
        <w:spacing w:after="60" w:line="252" w:lineRule="auto"/>
      </w:pPr>
      <w:r>
        <w:rPr>
          <w:rFonts w:ascii="Times New Roman" w:hAnsi="Times New Roman"/>
          <w:sz w:val="20"/>
        </w:rPr>
        <w:t>Separate inputs available at time t from future labels and future trajectories. Any use of future information is a leakage failure.</w:t>
      </w:r>
    </w:p>
    <w:p>
      <w:pPr>
        <w:pStyle w:val="ListNumber"/>
        <w:spacing w:after="60" w:line="252" w:lineRule="auto"/>
      </w:pPr>
      <w:r>
        <w:rPr>
          <w:rFonts w:ascii="Times New Roman" w:hAnsi="Times New Roman"/>
          <w:sz w:val="20"/>
        </w:rPr>
        <w:t>Compare against strong standard baselines at the same false-alarm budget and under a comparable compute and memory budget.</w:t>
      </w:r>
    </w:p>
    <w:p>
      <w:pPr>
        <w:pStyle w:val="ListNumber"/>
        <w:spacing w:after="60" w:line="252" w:lineRule="auto"/>
      </w:pPr>
      <w:r>
        <w:rPr>
          <w:rFonts w:ascii="Times New Roman" w:hAnsi="Times New Roman"/>
          <w:sz w:val="20"/>
        </w:rPr>
        <w:t>Blind the monitor operator and randomize episode order, fault order, or domain order where the testbed permits it.</w:t>
      </w:r>
    </w:p>
    <w:p>
      <w:pPr>
        <w:pStyle w:val="ListNumber"/>
        <w:spacing w:after="60" w:line="252" w:lineRule="auto"/>
      </w:pPr>
      <w:r>
        <w:rPr>
          <w:rFonts w:ascii="Times New Roman" w:hAnsi="Times New Roman"/>
          <w:sz w:val="20"/>
        </w:rPr>
        <w:t>Report point estimates with uncertainty intervals, per-episode results, missing data, exclusions, and every failed run.</w:t>
      </w:r>
    </w:p>
    <w:p>
      <w:pPr>
        <w:pStyle w:val="ListNumber"/>
        <w:spacing w:after="60" w:line="252" w:lineRule="auto"/>
      </w:pPr>
      <w:r>
        <w:rPr>
          <w:rFonts w:ascii="Times New Roman" w:hAnsi="Times New Roman"/>
          <w:sz w:val="20"/>
        </w:rPr>
        <w:t>Treat a null result as a bound on the tested regime, not as a universal disproof outside that regime.</w:t>
      </w:r>
    </w:p>
    <w:p>
      <w:pPr>
        <w:pStyle w:val="Heading1"/>
      </w:pPr>
      <w:r>
        <w:rPr>
          <w:rFonts w:ascii="Times New Roman" w:hAnsi="Times New Roman"/>
          <w:b w:val="0"/>
          <w:i w:val="0"/>
          <w:sz w:val="21"/>
        </w:rPr>
        <w:t>3 The five methods</w:t>
      </w:r>
    </w:p>
    <w:p>
      <w:pPr>
        <w:pStyle w:val="Caption"/>
        <w:jc w:val="left"/>
      </w:pPr>
      <w:r>
        <w:t>Table 2. The five-method validation program</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2088"/>
            <w:shd w:fill="1F4E79"/>
            <w:tcMar>
              <w:top w:w="90" w:type="dxa"/>
              <w:start w:w="110" w:type="dxa"/>
              <w:bottom w:w="90" w:type="dxa"/>
              <w:end w:w="110" w:type="dxa"/>
            </w:tcMar>
            <w:vAlign w:val="center"/>
          </w:tcPr>
          <w:p>
            <w:pPr>
              <w:spacing w:after="0"/>
            </w:pPr>
            <w:r>
              <w:rPr>
                <w:rFonts w:ascii="Arial" w:hAnsi="Arial"/>
                <w:b/>
                <w:color w:val="FFFFFF"/>
                <w:sz w:val="16"/>
              </w:rPr>
              <w:t>Method</w:t>
            </w:r>
          </w:p>
        </w:tc>
        <w:tc>
          <w:tcPr>
            <w:tcW w:type="dxa" w:w="4104"/>
            <w:shd w:fill="1F4E79"/>
            <w:tcMar>
              <w:top w:w="90" w:type="dxa"/>
              <w:start w:w="110" w:type="dxa"/>
              <w:bottom w:w="90" w:type="dxa"/>
              <w:end w:w="110" w:type="dxa"/>
            </w:tcMar>
            <w:vAlign w:val="center"/>
          </w:tcPr>
          <w:p>
            <w:pPr>
              <w:spacing w:after="0"/>
            </w:pPr>
            <w:r>
              <w:rPr>
                <w:rFonts w:ascii="Arial" w:hAnsi="Arial"/>
                <w:b/>
                <w:color w:val="FFFFFF"/>
                <w:sz w:val="16"/>
              </w:rPr>
              <w:t>Primary question</w:t>
            </w:r>
          </w:p>
        </w:tc>
        <w:tc>
          <w:tcPr>
            <w:tcW w:type="dxa" w:w="3845"/>
            <w:shd w:fill="1F4E79"/>
            <w:tcMar>
              <w:top w:w="90" w:type="dxa"/>
              <w:start w:w="110" w:type="dxa"/>
              <w:bottom w:w="90" w:type="dxa"/>
              <w:end w:w="110" w:type="dxa"/>
            </w:tcMar>
            <w:vAlign w:val="center"/>
          </w:tcPr>
          <w:p>
            <w:pPr>
              <w:spacing w:after="0"/>
            </w:pPr>
            <w:r>
              <w:rPr>
                <w:rFonts w:ascii="Arial" w:hAnsi="Arial"/>
                <w:b/>
                <w:color w:val="FFFFFF"/>
                <w:sz w:val="16"/>
              </w:rPr>
              <w:t>Decisive observation</w:t>
            </w:r>
          </w:p>
        </w:tc>
      </w:tr>
      <w:tr>
        <w:tc>
          <w:tcPr>
            <w:tcW w:type="dxa" w:w="2088"/>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Independent real telemetry</w:t>
            </w:r>
          </w:p>
        </w:tc>
        <w:tc>
          <w:tcPr>
            <w:tcW w:type="dxa" w:w="4104"/>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Does the monitor warn earlier on an external time series with real degradation events?</w:t>
            </w:r>
          </w:p>
        </w:tc>
        <w:tc>
          <w:tcPr>
            <w:tcW w:type="dxa" w:w="3845"/>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Earlier warning at a frozen false-alarm rate and comparable compute.</w:t>
            </w:r>
          </w:p>
        </w:tc>
      </w:tr>
      <w:tr>
        <w:tc>
          <w:tcPr>
            <w:tcW w:type="dxa" w:w="2088"/>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Mechanism ablation tomography</w:t>
            </w:r>
          </w:p>
        </w:tc>
        <w:tc>
          <w:tcPr>
            <w:tcW w:type="dxa" w:w="4104"/>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Does the advantage depend on the proposed recursive coherence mechanism?</w:t>
            </w:r>
          </w:p>
        </w:tc>
        <w:tc>
          <w:tcPr>
            <w:tcW w:type="dxa" w:w="3845"/>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advantage disappears under mechanism-breaking ablations but remains under irrelevant controls.</w:t>
            </w:r>
          </w:p>
        </w:tc>
      </w:tr>
      <w:tr>
        <w:tc>
          <w:tcPr>
            <w:tcW w:type="dxa" w:w="2088"/>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Hardware in the loop</w:t>
            </w:r>
          </w:p>
        </w:tc>
        <w:tc>
          <w:tcPr>
            <w:tcW w:type="dxa" w:w="4104"/>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Does the signal survive sensor, actuator, latency, and environmental faults in a closed loop?</w:t>
            </w:r>
          </w:p>
        </w:tc>
        <w:tc>
          <w:tcPr>
            <w:tcW w:type="dxa" w:w="3845"/>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Earlier warning without increased instability, recovery time, or unsafe control action.</w:t>
            </w:r>
          </w:p>
        </w:tc>
      </w:tr>
      <w:tr>
        <w:tc>
          <w:tcPr>
            <w:tcW w:type="dxa" w:w="2088"/>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Independent implementation</w:t>
            </w:r>
          </w:p>
        </w:tc>
        <w:tc>
          <w:tcPr>
            <w:tcW w:type="dxa" w:w="4104"/>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Does an unaffiliated team obtain the same result from the specification alone?</w:t>
            </w:r>
          </w:p>
        </w:tc>
        <w:tc>
          <w:tcPr>
            <w:tcW w:type="dxa" w:w="3845"/>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direction and approximate magnitude of the effect replicate without hidden tuning.</w:t>
            </w:r>
          </w:p>
        </w:tc>
      </w:tr>
      <w:tr>
        <w:tc>
          <w:tcPr>
            <w:tcW w:type="dxa" w:w="2088"/>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Cross-domain holdout</w:t>
            </w:r>
          </w:p>
        </w:tc>
        <w:tc>
          <w:tcPr>
            <w:tcW w:type="dxa" w:w="4104"/>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Does the effect generalize beyond the calibration domain?</w:t>
            </w:r>
          </w:p>
        </w:tc>
        <w:tc>
          <w:tcPr>
            <w:tcW w:type="dxa" w:w="3845"/>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frozen monitor retains its advantage on a whole unseen domain.</w:t>
            </w:r>
          </w:p>
        </w:tc>
      </w:tr>
    </w:tbl>
    <w:p>
      <w:pPr>
        <w:spacing w:after="0"/>
      </w:pPr>
    </w:p>
    <w:p>
      <w:pPr>
        <w:pStyle w:val="Heading2"/>
      </w:pPr>
      <w:r>
        <w:rPr>
          <w:rFonts w:ascii="Times New Roman" w:hAnsi="Times New Roman"/>
          <w:b w:val="0"/>
          <w:i w:val="0"/>
          <w:sz w:val="21"/>
        </w:rPr>
        <w:t>3.1 Independent replication on real streaming telemetry</w:t>
      </w:r>
    </w:p>
    <w:p>
      <w:r>
        <w:rPr>
          <w:rFonts w:ascii="Times New Roman" w:hAnsi="Times New Roman"/>
          <w:b w:val="0"/>
          <w:i w:val="0"/>
          <w:sz w:val="21"/>
        </w:rPr>
        <w:t>This is the first experiment because it addresses the largest gap in the current evidence. The synthetic benchmark used the following recursive monitor, or a frozen successor with a documented version change:</w:t>
      </w:r>
    </w:p>
    <w:p>
      <w:pPr>
        <w:spacing w:before="40" w:after="100"/>
        <w:jc w:val="center"/>
      </w:pPr>
      <w:r>
        <w:rPr>
          <w:rFonts w:ascii="Cambria Math" w:hAnsi="Cambria Math"/>
          <w:sz w:val="22"/>
        </w:rPr>
        <w:t>rₜ = yₜ − (0.82 yₜ₋₁ + uₜ)</w:t>
      </w:r>
    </w:p>
    <w:p>
      <w:pPr>
        <w:spacing w:before="40" w:after="100"/>
        <w:jc w:val="center"/>
      </w:pPr>
      <w:r>
        <w:rPr>
          <w:rFonts w:ascii="Cambria Math" w:hAnsi="Cambria Math"/>
          <w:sz w:val="22"/>
        </w:rPr>
        <w:t>mₜ = 0.97 mₜ₋₁ + 0.03 rₜ</w:t>
      </w:r>
    </w:p>
    <w:p>
      <w:pPr>
        <w:spacing w:before="40" w:after="100"/>
        <w:jc w:val="center"/>
      </w:pPr>
      <w:r>
        <w:rPr>
          <w:rFonts w:ascii="Cambria Math" w:hAnsi="Cambria Math"/>
          <w:sz w:val="22"/>
        </w:rPr>
        <w:t>Cₜ = |mₜ|</w:t>
      </w:r>
    </w:p>
    <w:p>
      <w:r>
        <w:rPr>
          <w:rFonts w:ascii="Times New Roman" w:hAnsi="Times New Roman"/>
          <w:b w:val="0"/>
          <w:i w:val="0"/>
          <w:sz w:val="21"/>
        </w:rPr>
        <w:t>The new data must come from a system that was not used to choose the recurrence, threshold, or event definition. Suitable data contain time-ordered measurements, control inputs where they exist, and degradation windows adjudicated independently of the monitor. The analysis should preserve the original sampling cadence and record dropped packets, resampling, sensor changes, and maintenance events.</w:t>
      </w:r>
    </w:p>
    <w:p>
      <w:r>
        <w:rPr>
          <w:rFonts w:ascii="Times New Roman" w:hAnsi="Times New Roman"/>
          <w:b w:val="0"/>
          <w:i w:val="0"/>
          <w:sz w:val="21"/>
        </w:rPr>
        <w:t>The primary endpoint is the paired warning-lead difference ΔL between the EFMW monitor and a preregistered baseline. The current benchmark used a median paired advantage of at least 10 samples as its decision threshold. That threshold may be used again only if it is frozen before the new data are inspected. Secondary endpoints include false-positive rate, precision, missed events, compute time, memory, and alarm latency. A result that obtains more lead time only by issuing more alarms does not pass.</w:t>
      </w:r>
    </w:p>
    <w:p>
      <w:r>
        <w:rPr>
          <w:rFonts w:ascii="Times New Roman" w:hAnsi="Times New Roman"/>
          <w:b w:val="0"/>
          <w:i w:val="0"/>
          <w:sz w:val="21"/>
        </w:rPr>
        <w:t>A successful replication would support the statement that the frozen monitor has utility on at least one independent real-data regime. It would not identify the effect as uniquely EFMW. If a conventional residual EWMA, CUSUM, or model-based detector matches it at the same operating point, the claim narrows to an engineering implementation rather than a distinct EFMW mechanism.</w:t>
      </w:r>
    </w:p>
    <w:p>
      <w:pPr>
        <w:pStyle w:val="Heading2"/>
      </w:pPr>
      <w:r>
        <w:rPr>
          <w:rFonts w:ascii="Times New Roman" w:hAnsi="Times New Roman"/>
          <w:b w:val="0"/>
          <w:i w:val="0"/>
          <w:sz w:val="21"/>
        </w:rPr>
        <w:t>3.2 Mechanism ablation tomography</w:t>
      </w:r>
    </w:p>
    <w:p>
      <w:r>
        <w:rPr>
          <w:rFonts w:ascii="Times New Roman" w:hAnsi="Times New Roman"/>
          <w:b w:val="0"/>
          <w:i w:val="0"/>
          <w:sz w:val="21"/>
        </w:rPr>
        <w:t>A performance gain can arise from memory, smoothing, threshold placement, residual magnitude, or an accidental feature of the simulator. Ablation tomography separates those possibilities. The full monitor is compared with matched variants that remove or alter one proposed ingredient at a time.</w:t>
      </w:r>
    </w:p>
    <w:p>
      <w:pPr>
        <w:pStyle w:val="ListBullet"/>
        <w:spacing w:after="60" w:line="252" w:lineRule="auto"/>
      </w:pPr>
      <w:r>
        <w:rPr>
          <w:rFonts w:ascii="Times New Roman" w:hAnsi="Times New Roman"/>
          <w:sz w:val="20"/>
        </w:rPr>
        <w:t>Remove the recursive memory state and use the instantaneous residual only.</w:t>
      </w:r>
    </w:p>
    <w:p>
      <w:pPr>
        <w:pStyle w:val="ListBullet"/>
        <w:spacing w:after="60" w:line="252" w:lineRule="auto"/>
      </w:pPr>
      <w:r>
        <w:rPr>
          <w:rFonts w:ascii="Times New Roman" w:hAnsi="Times New Roman"/>
          <w:sz w:val="20"/>
        </w:rPr>
        <w:t>Set the memory update gain to zero, then vary it over a preregistered grid.</w:t>
      </w:r>
    </w:p>
    <w:p>
      <w:pPr>
        <w:pStyle w:val="ListBullet"/>
        <w:spacing w:after="60" w:line="252" w:lineRule="auto"/>
      </w:pPr>
      <w:r>
        <w:rPr>
          <w:rFonts w:ascii="Times New Roman" w:hAnsi="Times New Roman"/>
          <w:sz w:val="20"/>
        </w:rPr>
        <w:t>Reverse or scramble the time order while preserving the marginal values.</w:t>
      </w:r>
    </w:p>
    <w:p>
      <w:pPr>
        <w:pStyle w:val="ListBullet"/>
        <w:spacing w:after="60" w:line="252" w:lineRule="auto"/>
      </w:pPr>
      <w:r>
        <w:rPr>
          <w:rFonts w:ascii="Times New Roman" w:hAnsi="Times New Roman"/>
          <w:sz w:val="20"/>
        </w:rPr>
        <w:t>Replace the recursive state with a conventional EWMA matched for memory and compute.</w:t>
      </w:r>
    </w:p>
    <w:p>
      <w:pPr>
        <w:pStyle w:val="ListBullet"/>
        <w:spacing w:after="60" w:line="252" w:lineRule="auto"/>
      </w:pPr>
      <w:r>
        <w:rPr>
          <w:rFonts w:ascii="Times New Roman" w:hAnsi="Times New Roman"/>
          <w:sz w:val="20"/>
        </w:rPr>
        <w:t>Remove the model or control-input term while retaining the same thresholding procedure.</w:t>
      </w:r>
    </w:p>
    <w:p>
      <w:pPr>
        <w:pStyle w:val="ListBullet"/>
        <w:spacing w:after="60" w:line="252" w:lineRule="auto"/>
      </w:pPr>
      <w:r>
        <w:rPr>
          <w:rFonts w:ascii="Times New Roman" w:hAnsi="Times New Roman"/>
          <w:sz w:val="20"/>
        </w:rPr>
        <w:t>Use a sham statistic with the same parameter count and output rate but no EFMW-specific recursion.</w:t>
      </w:r>
    </w:p>
    <w:p>
      <w:r>
        <w:rPr>
          <w:rFonts w:ascii="Times New Roman" w:hAnsi="Times New Roman"/>
          <w:b w:val="0"/>
          <w:i w:val="0"/>
          <w:sz w:val="21"/>
        </w:rPr>
        <w:t>The decisive pattern is selective. If the full monitor wins, the mechanism-breaking variants lose the win, and irrelevant representation controls do not, the data support a mechanism-level interpretation. If shuffled time or a static residual performs equally well, the result is more plausibly generic signal processing. If every ablation fails while the original implementation succeeds, the monitor may be exploiting an unrecorded implementation detail. The full ablation matrix should be run before the primary result is unblinded.</w:t>
      </w:r>
    </w:p>
    <w:p>
      <w:pPr>
        <w:pStyle w:val="Heading2"/>
      </w:pPr>
      <w:r>
        <w:rPr>
          <w:rFonts w:ascii="Times New Roman" w:hAnsi="Times New Roman"/>
          <w:b w:val="0"/>
          <w:i w:val="0"/>
          <w:sz w:val="21"/>
        </w:rPr>
        <w:t>3.3 Hardware in the loop control degradation</w:t>
      </w:r>
    </w:p>
    <w:p>
      <w:r>
        <w:rPr>
          <w:rFonts w:ascii="Times New Roman" w:hAnsi="Times New Roman"/>
          <w:b w:val="0"/>
          <w:i w:val="0"/>
          <w:sz w:val="21"/>
        </w:rPr>
        <w:t>Real telemetry replication tests observation. Hardware in the loop tests the control consequence. The monitor should run against a closed-loop testbed in which faults can be introduced safely and their onset is known independently. The testbed may be a laboratory process, a robot, a power-electronics rig, or another system with a measurable controller and an explicit recovery envelope.</w:t>
      </w:r>
    </w:p>
    <w:p>
      <w:r>
        <w:rPr>
          <w:rFonts w:ascii="Times New Roman" w:hAnsi="Times New Roman"/>
          <w:b w:val="0"/>
          <w:i w:val="0"/>
          <w:sz w:val="21"/>
        </w:rPr>
        <w:t>Faults should cover sensor dropout and noise, actuator saturation, delay, calibration drift, bias, and environmental disturbance. Fault onset and severity must be randomized within a frozen schedule. The monitor must not be allowed to change the controller during the first validation phase. That separation prevents a warning statistic from being credited for a control improvement it caused itself.</w:t>
      </w:r>
    </w:p>
    <w:p>
      <w:r>
        <w:rPr>
          <w:rFonts w:ascii="Times New Roman" w:hAnsi="Times New Roman"/>
          <w:b w:val="0"/>
          <w:i w:val="0"/>
          <w:sz w:val="21"/>
        </w:rPr>
        <w:t>The primary outcome remains warning lead at a matched false-alarm rate. Safety and control outcomes are co-primary constraints: closed-loop stability, recovery time, overshoot, energy or wear where measurable, and any unsafe command. A detector that warns earlier but causes extra instability is not an operational success. The experiment should run in a sandbox with a human override and a hard shutdown path.</w:t>
      </w:r>
    </w:p>
    <w:p>
      <w:pPr>
        <w:pStyle w:val="Heading2"/>
      </w:pPr>
      <w:r>
        <w:rPr>
          <w:rFonts w:ascii="Times New Roman" w:hAnsi="Times New Roman"/>
          <w:b w:val="0"/>
          <w:i w:val="0"/>
          <w:sz w:val="21"/>
        </w:rPr>
        <w:t>3.4 Independent laboratory or code implementation</w:t>
      </w:r>
    </w:p>
    <w:p>
      <w:r>
        <w:rPr>
          <w:rFonts w:ascii="Times New Roman" w:hAnsi="Times New Roman"/>
          <w:b w:val="0"/>
          <w:i w:val="0"/>
          <w:sz w:val="21"/>
        </w:rPr>
        <w:t>The present evidence has an implementation dependence risk. The public EXP-001 record required a directory workaround before the deterministic statistics could be reproduced, and blind one-command independent reproduction was not established. An independent implementation therefore has high information value even if it uses the same synthetic generator.</w:t>
      </w:r>
    </w:p>
    <w:p>
      <w:r>
        <w:rPr>
          <w:rFonts w:ascii="Times New Roman" w:hAnsi="Times New Roman"/>
          <w:b w:val="0"/>
          <w:i w:val="0"/>
          <w:sz w:val="21"/>
        </w:rPr>
        <w:t>The originating team should release a specification package rather than source code as the primary handoff. It must define the equations, units, input and output schema, randomization, thresholds, exclusions, scoring, and expected file format. The independent team should write its own implementation, run a registered reproduction on frozen seeds, and then run new seeds or new data that were not supplied by the originating team.</w:t>
      </w:r>
    </w:p>
    <w:p>
      <w:r>
        <w:rPr>
          <w:rFonts w:ascii="Times New Roman" w:hAnsi="Times New Roman"/>
          <w:b w:val="0"/>
          <w:i w:val="0"/>
          <w:sz w:val="21"/>
        </w:rPr>
        <w:t>The pass criterion is agreement in effect direction and a compatible uncertainty interval under the same decision rule. Exact equality of effect size is not required because implementation details and random streams can differ. A failure that occurs only in the independent implementation should narrow the claim to the original software path. A failure in both implementations is stronger evidence against the monitor in the tested regime.</w:t>
      </w:r>
    </w:p>
    <w:p>
      <w:pPr>
        <w:pStyle w:val="Heading2"/>
      </w:pPr>
      <w:r>
        <w:rPr>
          <w:rFonts w:ascii="Times New Roman" w:hAnsi="Times New Roman"/>
          <w:b w:val="0"/>
          <w:i w:val="0"/>
          <w:sz w:val="21"/>
        </w:rPr>
        <w:t>3.5 Cross-domain held-out test</w:t>
      </w:r>
    </w:p>
    <w:p>
      <w:r>
        <w:rPr>
          <w:rFonts w:ascii="Times New Roman" w:hAnsi="Times New Roman"/>
          <w:b w:val="0"/>
          <w:i w:val="0"/>
          <w:sz w:val="21"/>
        </w:rPr>
        <w:t>A detector can perform well because its calibration domain contains a recurring signature that does not travel. The cross-domain test holds out entire systems or environments rather than randomly withholding rows from one system. Calibration, threshold selection, and any normalization are performed only on the training domains.</w:t>
      </w:r>
    </w:p>
    <w:p>
      <w:r>
        <w:rPr>
          <w:rFonts w:ascii="Times New Roman" w:hAnsi="Times New Roman"/>
          <w:b w:val="0"/>
          <w:i w:val="0"/>
          <w:sz w:val="21"/>
        </w:rPr>
        <w:t>Candidate domain shifts include a change in plant, controller, sensor suite, operating range, or failure mode. A held-out domain should be selected before the model is tuned and should remain untouched until the final analysis. The primary report should give each domain its own estimate before any pooled estimate. A hierarchical analysis can summarize the program, but pooling must not hide a domain in which the monitor fails.</w:t>
      </w:r>
    </w:p>
    <w:p>
      <w:r>
        <w:rPr>
          <w:rFonts w:ascii="Times New Roman" w:hAnsi="Times New Roman"/>
          <w:b w:val="0"/>
          <w:i w:val="0"/>
          <w:sz w:val="21"/>
        </w:rPr>
        <w:t>A successful result would show that the monitor captures a transferable property of degradation rather than a simulator fingerprint. A null result would not disprove every EFMW hypothesis. It would show that the current monitor does not generalize without additional assumptions, and it would block a universal engineering claim.</w:t>
      </w:r>
    </w:p>
    <w:p>
      <w:pPr>
        <w:pStyle w:val="Heading1"/>
      </w:pPr>
      <w:r>
        <w:rPr>
          <w:rFonts w:ascii="Times New Roman" w:hAnsi="Times New Roman"/>
          <w:b w:val="0"/>
          <w:i w:val="0"/>
          <w:sz w:val="21"/>
        </w:rPr>
        <w:t>4 Analysis plan and decision gates</w:t>
      </w:r>
    </w:p>
    <w:p>
      <w:r>
        <w:rPr>
          <w:rFonts w:ascii="Times New Roman" w:hAnsi="Times New Roman"/>
          <w:b w:val="0"/>
          <w:i w:val="0"/>
          <w:sz w:val="21"/>
        </w:rPr>
        <w:t>The five methods should be analyzed as a staged program, but each stage must remain interpretable on its own. A later positive result cannot repair an earlier failure caused by leakage or an unfrozen specification. Conversely, a failure in one domain should not be hidden by success in another.</w:t>
      </w:r>
    </w:p>
    <w:p>
      <w:pPr>
        <w:pStyle w:val="Heading2"/>
      </w:pPr>
      <w:r>
        <w:rPr>
          <w:rFonts w:ascii="Times New Roman" w:hAnsi="Times New Roman"/>
          <w:b w:val="0"/>
          <w:i w:val="0"/>
          <w:sz w:val="21"/>
        </w:rPr>
        <w:t>Primary analysis</w:t>
      </w:r>
    </w:p>
    <w:p>
      <w:pPr>
        <w:pStyle w:val="ListBullet"/>
        <w:spacing w:after="60" w:line="252" w:lineRule="auto"/>
      </w:pPr>
      <w:r>
        <w:rPr>
          <w:rFonts w:ascii="Times New Roman" w:hAnsi="Times New Roman"/>
          <w:sz w:val="20"/>
        </w:rPr>
        <w:t>Define one primary warning-lead endpoint and one false-alarm constraint before data collection.</w:t>
      </w:r>
    </w:p>
    <w:p>
      <w:pPr>
        <w:pStyle w:val="ListBullet"/>
        <w:spacing w:after="60" w:line="252" w:lineRule="auto"/>
      </w:pPr>
      <w:r>
        <w:rPr>
          <w:rFonts w:ascii="Times New Roman" w:hAnsi="Times New Roman"/>
          <w:sz w:val="20"/>
        </w:rPr>
        <w:t>Use paired episodes or paired streams whenever the same degradation event can be scored by both the EFMW monitor and the baseline.</w:t>
      </w:r>
    </w:p>
    <w:p>
      <w:pPr>
        <w:pStyle w:val="ListBullet"/>
        <w:spacing w:after="60" w:line="252" w:lineRule="auto"/>
      </w:pPr>
      <w:r>
        <w:rPr>
          <w:rFonts w:ascii="Times New Roman" w:hAnsi="Times New Roman"/>
          <w:sz w:val="20"/>
        </w:rPr>
        <w:t>Report bootstrap or permutation intervals at the episode level, with the resampling unit fixed in advance.</w:t>
      </w:r>
    </w:p>
    <w:p>
      <w:pPr>
        <w:pStyle w:val="ListBullet"/>
        <w:spacing w:after="60" w:line="252" w:lineRule="auto"/>
      </w:pPr>
      <w:r>
        <w:rPr>
          <w:rFonts w:ascii="Times New Roman" w:hAnsi="Times New Roman"/>
          <w:sz w:val="20"/>
        </w:rPr>
        <w:t>Control multiplicity for secondary endpoints and ablation variants, or label them explicitly as exploratory.</w:t>
      </w:r>
    </w:p>
    <w:p>
      <w:pPr>
        <w:pStyle w:val="ListBullet"/>
        <w:spacing w:after="60" w:line="252" w:lineRule="auto"/>
      </w:pPr>
      <w:r>
        <w:rPr>
          <w:rFonts w:ascii="Times New Roman" w:hAnsi="Times New Roman"/>
          <w:sz w:val="20"/>
        </w:rPr>
        <w:t>Publish the complete ledger, including failed runs, exclusions, seeds, software versions, hardware configuration, and hashes.</w:t>
      </w:r>
    </w:p>
    <w:p>
      <w:r>
        <w:br w:type="page"/>
      </w:r>
    </w:p>
    <w:p>
      <w:pPr>
        <w:pStyle w:val="Heading2"/>
      </w:pPr>
      <w:r>
        <w:rPr>
          <w:rFonts w:ascii="Times New Roman" w:hAnsi="Times New Roman"/>
          <w:b w:val="0"/>
          <w:i w:val="0"/>
          <w:sz w:val="21"/>
        </w:rPr>
        <w:t>Decision gates</w:t>
      </w:r>
    </w:p>
    <w:p>
      <w:pPr>
        <w:pStyle w:val="Caption"/>
        <w:jc w:val="left"/>
      </w:pPr>
      <w:r>
        <w:t>Table 3. Interpretation of possible program outcomes</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2520"/>
            <w:shd w:fill="1F4E79"/>
            <w:tcMar>
              <w:top w:w="90" w:type="dxa"/>
              <w:start w:w="110" w:type="dxa"/>
              <w:bottom w:w="90" w:type="dxa"/>
              <w:end w:w="110" w:type="dxa"/>
            </w:tcMar>
            <w:vAlign w:val="center"/>
          </w:tcPr>
          <w:p>
            <w:pPr>
              <w:spacing w:after="0"/>
            </w:pPr>
            <w:r>
              <w:rPr>
                <w:rFonts w:ascii="Arial" w:hAnsi="Arial"/>
                <w:b/>
                <w:color w:val="FFFFFF"/>
                <w:sz w:val="16"/>
              </w:rPr>
              <w:t>Observed outcome</w:t>
            </w:r>
          </w:p>
        </w:tc>
        <w:tc>
          <w:tcPr>
            <w:tcW w:type="dxa" w:w="4320"/>
            <w:shd w:fill="1F4E79"/>
            <w:tcMar>
              <w:top w:w="90" w:type="dxa"/>
              <w:start w:w="110" w:type="dxa"/>
              <w:bottom w:w="90" w:type="dxa"/>
              <w:end w:w="110" w:type="dxa"/>
            </w:tcMar>
            <w:vAlign w:val="center"/>
          </w:tcPr>
          <w:p>
            <w:pPr>
              <w:spacing w:after="0"/>
            </w:pPr>
            <w:r>
              <w:rPr>
                <w:rFonts w:ascii="Arial" w:hAnsi="Arial"/>
                <w:b/>
                <w:color w:val="FFFFFF"/>
                <w:sz w:val="16"/>
              </w:rPr>
              <w:t>Permitted conclusion</w:t>
            </w:r>
          </w:p>
        </w:tc>
        <w:tc>
          <w:tcPr>
            <w:tcW w:type="dxa" w:w="3197"/>
            <w:shd w:fill="1F4E79"/>
            <w:tcMar>
              <w:top w:w="90" w:type="dxa"/>
              <w:start w:w="110" w:type="dxa"/>
              <w:bottom w:w="90" w:type="dxa"/>
              <w:end w:w="110" w:type="dxa"/>
            </w:tcMar>
            <w:vAlign w:val="center"/>
          </w:tcPr>
          <w:p>
            <w:pPr>
              <w:spacing w:after="0"/>
            </w:pPr>
            <w:r>
              <w:rPr>
                <w:rFonts w:ascii="Arial" w:hAnsi="Arial"/>
                <w:b/>
                <w:color w:val="FFFFFF"/>
                <w:sz w:val="16"/>
              </w:rPr>
              <w:t>Blocked conclusion</w:t>
            </w:r>
          </w:p>
        </w:tc>
      </w:tr>
      <w:tr>
        <w:tc>
          <w:tcPr>
            <w:tcW w:type="dxa" w:w="25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Real telemetry replication passes</w:t>
            </w:r>
          </w:p>
        </w:tc>
        <w:tc>
          <w:tcPr>
            <w:tcW w:type="dxa" w:w="43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frozen monitor has conditional utility in an external data regime.</w:t>
            </w:r>
          </w:p>
        </w:tc>
        <w:tc>
          <w:tcPr>
            <w:tcW w:type="dxa" w:w="3197"/>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EFMW is a confirmed physical law.</w:t>
            </w:r>
          </w:p>
        </w:tc>
      </w:tr>
      <w:tr>
        <w:tc>
          <w:tcPr>
            <w:tcW w:type="dxa" w:w="25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Ablation isolates recursion</w:t>
            </w:r>
          </w:p>
        </w:tc>
        <w:tc>
          <w:tcPr>
            <w:tcW w:type="dxa" w:w="43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gain depends on the specified mechanism under the tested conditions.</w:t>
            </w:r>
          </w:p>
        </w:tc>
        <w:tc>
          <w:tcPr>
            <w:tcW w:type="dxa" w:w="3197"/>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mechanism is universal across systems.</w:t>
            </w:r>
          </w:p>
        </w:tc>
      </w:tr>
      <w:tr>
        <w:tc>
          <w:tcPr>
            <w:tcW w:type="dxa" w:w="25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Hardware in the loop passes safely</w:t>
            </w:r>
          </w:p>
        </w:tc>
        <w:tc>
          <w:tcPr>
            <w:tcW w:type="dxa" w:w="43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warning signal survives a controlled closed-loop test.</w:t>
            </w:r>
          </w:p>
        </w:tc>
        <w:tc>
          <w:tcPr>
            <w:tcW w:type="dxa" w:w="3197"/>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monitor is safe in uncontrolled deployment.</w:t>
            </w:r>
          </w:p>
        </w:tc>
      </w:tr>
      <w:tr>
        <w:tc>
          <w:tcPr>
            <w:tcW w:type="dxa" w:w="25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Independent implementation passes</w:t>
            </w:r>
          </w:p>
        </w:tc>
        <w:tc>
          <w:tcPr>
            <w:tcW w:type="dxa" w:w="43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result is less likely to be an artifact of one code path.</w:t>
            </w:r>
          </w:p>
        </w:tc>
        <w:tc>
          <w:tcPr>
            <w:tcW w:type="dxa" w:w="3197"/>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All implementation and specification risks are removed.</w:t>
            </w:r>
          </w:p>
        </w:tc>
      </w:tr>
      <w:tr>
        <w:tc>
          <w:tcPr>
            <w:tcW w:type="dxa" w:w="25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Cross-domain holdout passes</w:t>
            </w:r>
          </w:p>
        </w:tc>
        <w:tc>
          <w:tcPr>
            <w:tcW w:type="dxa" w:w="4320"/>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engineering effect has evidence of transfer across the tested domains.</w:t>
            </w:r>
          </w:p>
        </w:tc>
        <w:tc>
          <w:tcPr>
            <w:tcW w:type="dxa" w:w="3197"/>
            <w:tcMar>
              <w:top w:w="90" w:type="dxa"/>
              <w:start w:w="110" w:type="dxa"/>
              <w:bottom w:w="90" w:type="dxa"/>
              <w:end w:w="110" w:type="dxa"/>
            </w:tcMar>
            <w:vAlign w:val="top"/>
            <w:shd w:fill="F2F2F2"/>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remaining physical branches are confirmed.</w:t>
            </w:r>
          </w:p>
        </w:tc>
      </w:tr>
      <w:tr>
        <w:tc>
          <w:tcPr>
            <w:tcW w:type="dxa" w:w="25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Any decisive null or generic baseline match</w:t>
            </w:r>
          </w:p>
        </w:tc>
        <w:tc>
          <w:tcPr>
            <w:tcW w:type="dxa" w:w="4320"/>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The tested EFMW monitor is bounded or not distinguishable from standard methods.</w:t>
            </w:r>
          </w:p>
        </w:tc>
        <w:tc>
          <w:tcPr>
            <w:tcW w:type="dxa" w:w="3197"/>
            <w:tcMar>
              <w:top w:w="90" w:type="dxa"/>
              <w:start w:w="110" w:type="dxa"/>
              <w:bottom w:w="90" w:type="dxa"/>
              <w:end w:w="110" w:type="dxa"/>
            </w:tcMar>
            <w:vAlign w:val="top"/>
            <w:tcBorders>
              <w:top w:val="single" w:sz="4" w:color="B7C9D6"/>
              <w:left w:val="single" w:sz="4" w:color="B7C9D6"/>
              <w:bottom w:val="single" w:sz="4" w:color="B7C9D6"/>
              <w:right w:val="single" w:sz="4" w:color="B7C9D6"/>
            </w:tcBorders>
          </w:tcPr>
          <w:p>
            <w:pPr>
              <w:spacing w:after="0" w:line="240" w:lineRule="auto"/>
            </w:pPr>
            <w:r>
              <w:rPr>
                <w:rFonts w:ascii="Arial" w:hAnsi="Arial"/>
                <w:sz w:val="16"/>
              </w:rPr>
              <w:t>A universal negative claim outside the tested regime.</w:t>
            </w:r>
          </w:p>
        </w:tc>
      </w:tr>
    </w:tbl>
    <w:p>
      <w:pPr>
        <w:spacing w:after="0"/>
      </w:pPr>
    </w:p>
    <w:p>
      <w:r>
        <w:rPr>
          <w:rFonts w:ascii="Times New Roman" w:hAnsi="Times New Roman"/>
          <w:b w:val="0"/>
          <w:i w:val="0"/>
          <w:sz w:val="21"/>
        </w:rPr>
        <w:t>The strongest defensible program-level result is therefore conditional: an independently implemented, mechanism-sensitive, cross-domain warning advantage at matched false-alarm and compute budgets. That result would justify a larger engineering study. It would still leave the physical interpretation open.</w:t>
      </w:r>
    </w:p>
    <w:p>
      <w:pPr>
        <w:pStyle w:val="Heading1"/>
      </w:pPr>
      <w:r>
        <w:rPr>
          <w:rFonts w:ascii="Times New Roman" w:hAnsi="Times New Roman"/>
          <w:b w:val="0"/>
          <w:i w:val="0"/>
          <w:sz w:val="21"/>
        </w:rPr>
        <w:t>5 Relationship to the remaining portfolio</w:t>
      </w:r>
    </w:p>
    <w:p>
      <w:r>
        <w:rPr>
          <w:rFonts w:ascii="Times New Roman" w:hAnsi="Times New Roman"/>
          <w:b w:val="0"/>
          <w:i w:val="0"/>
          <w:sz w:val="21"/>
        </w:rPr>
        <w:t>The other experiments in the 23-method portfolio form a downstream physics and cosmology track. In broad terms, they examine propagation and dispersion, multimessenger timing, tensor coupling, laboratory equivalence and clock behavior, compact-object timing, lensing, expansion, structure growth, and related cosmological signatures. They are mentioned here to mark scope rather than to replace the five methods developed above.</w:t>
      </w:r>
    </w:p>
    <w:p>
      <w:r>
        <w:rPr>
          <w:rFonts w:ascii="Times New Roman" w:hAnsi="Times New Roman"/>
          <w:b w:val="0"/>
          <w:i w:val="0"/>
          <w:sz w:val="21"/>
        </w:rPr>
        <w:t>Those tests need their own frozen source-to-detector maps, units, covariance or action closure, and observables that are not degenerate with ordinary curvature, calibration, or nuisance parameters. A positive L4 monitoring result would not supply those missing ingredients. A null L4 result would not, by itself, eliminate the other branches. The correct relationship is parallel but evidence-separated: validate the operational monitor on its own terms, then test the physical branches with independent measurements.</w:t>
      </w:r>
    </w:p>
    <w:p>
      <w:pPr>
        <w:pStyle w:val="Heading1"/>
      </w:pPr>
      <w:r>
        <w:rPr>
          <w:rFonts w:ascii="Times New Roman" w:hAnsi="Times New Roman"/>
          <w:b w:val="0"/>
          <w:i w:val="0"/>
          <w:sz w:val="21"/>
        </w:rPr>
        <w:t>6 Limitations</w:t>
      </w:r>
    </w:p>
    <w:p>
      <w:r>
        <w:rPr>
          <w:rFonts w:ascii="Times New Roman" w:hAnsi="Times New Roman"/>
          <w:b w:val="0"/>
          <w:i w:val="0"/>
          <w:sz w:val="21"/>
        </w:rPr>
        <w:t>The five methods are deliberately narrower than the full EFMW proposal. They test a monitor for degradation in engineered or simulated systems. They do not measure a new field, establish a propagation speed, derive a gravitational action, or identify a cosmological parameter. The phrase EFMW effect must therefore be used with a qualifier until a physical observable is specified and independently measured.</w:t>
      </w:r>
    </w:p>
    <w:p>
      <w:r>
        <w:rPr>
          <w:rFonts w:ascii="Times New Roman" w:hAnsi="Times New Roman"/>
          <w:b w:val="0"/>
          <w:i w:val="0"/>
          <w:sz w:val="21"/>
        </w:rPr>
        <w:t>Real telemetry introduces label uncertainty, missingness, maintenance interventions, changing sensors, and unobserved controller state. Hardware tests introduce safety and scale limits. Independent implementations may disagree because the specification is incomplete. Cross-domain tests can fail because the domains differ in ways the monitor was never intended to cover. These are reasons to record assumptions and bounds, not reasons to relax the pass criteria.</w:t>
      </w:r>
    </w:p>
    <w:p>
      <w:r>
        <w:rPr>
          <w:rFonts w:ascii="Times New Roman" w:hAnsi="Times New Roman"/>
          <w:b w:val="0"/>
          <w:i w:val="0"/>
          <w:sz w:val="21"/>
        </w:rPr>
        <w:t>The broader 102-equation analysis is also not yet an exhaustive empirical sweep. Formal theorems and conditional derivations can reveal structure and dependencies, but they do not turn an unmeasured term into a law. Any paper or release that reports the five-method program should preserve this boundary in its title, abstract, results ledger, and conclusion.</w:t>
      </w:r>
    </w:p>
    <w:p>
      <w:pPr>
        <w:pStyle w:val="Heading1"/>
      </w:pPr>
      <w:r>
        <w:rPr>
          <w:rFonts w:ascii="Times New Roman" w:hAnsi="Times New Roman"/>
          <w:b w:val="0"/>
          <w:i w:val="0"/>
          <w:sz w:val="21"/>
        </w:rPr>
        <w:t>7 Conclusion</w:t>
      </w:r>
    </w:p>
    <w:p>
      <w:r>
        <w:rPr>
          <w:rFonts w:ascii="Times New Roman" w:hAnsi="Times New Roman"/>
          <w:b w:val="0"/>
          <w:i w:val="0"/>
          <w:sz w:val="21"/>
        </w:rPr>
        <w:t>The most decisive next step for EFMW is a five-method validation program centered on the recursive coherence monitor. Start with independent real telemetry and mechanism ablation. Add hardware-in-the-loop faults, then require an independent implementation and a whole-domain holdout. Use the same frozen equations, thresholds, baselines, false-alarm budget, compute budget, and reporting ledger throughout.</w:t>
      </w:r>
    </w:p>
    <w:p>
      <w:r>
        <w:rPr>
          <w:rFonts w:ascii="Times New Roman" w:hAnsi="Times New Roman"/>
          <w:b w:val="0"/>
          <w:i w:val="0"/>
          <w:sz w:val="21"/>
        </w:rPr>
        <w:t>If the program succeeds, it will establish a bounded and reproducible engineering result: under specified conditions, the EFMW-style monitor can warn of control degradation earlier than strong standard baselines, and its advantage depends on the stated mechanism. That would be meaningful progress. It would still be different from confirming the monolithic equation set or any universal physical law. The remaining branches should proceed as separate experiments with their own identifiability and replication requirements.</w:t>
      </w:r>
    </w:p>
    <w:p>
      <w:pPr>
        <w:pStyle w:val="Heading1"/>
      </w:pPr>
      <w:r>
        <w:rPr>
          <w:rFonts w:ascii="Times New Roman" w:hAnsi="Times New Roman"/>
          <w:b w:val="0"/>
          <w:i w:val="0"/>
          <w:sz w:val="21"/>
        </w:rPr>
        <w:t>References</w:t>
      </w:r>
    </w:p>
    <w:p>
      <w:pPr>
        <w:spacing w:after="80"/>
        <w:ind w:left="317" w:hanging="317"/>
      </w:pPr>
      <w:r>
        <w:rPr>
          <w:rFonts w:ascii="Times New Roman" w:hAnsi="Times New Roman"/>
          <w:sz w:val="18"/>
        </w:rPr>
        <w:t>1. Wright, M. C. Monolithic 102 equation corpus. Frozen project source archive. SHA-256 d534be8e0664fd523bd0bbbd82e98b8acda29e23f0941690be96573661080268. 2026.</w:t>
      </w:r>
    </w:p>
    <w:p>
      <w:pPr>
        <w:spacing w:after="80"/>
        <w:ind w:left="317" w:hanging="317"/>
      </w:pPr>
      <w:r>
        <w:rPr>
          <w:rFonts w:ascii="Times New Roman" w:hAnsi="Times New Roman"/>
          <w:sz w:val="18"/>
        </w:rPr>
        <w:t>2. Monolithic LLC. EFMW EXP-001. Public project repository and frozen experiment packet. https://github.com/enuminous/EFMW-EXP-001. 2026.</w:t>
      </w:r>
    </w:p>
    <w:p>
      <w:pPr>
        <w:spacing w:after="80"/>
        <w:ind w:left="317" w:hanging="317"/>
      </w:pPr>
      <w:r>
        <w:rPr>
          <w:rFonts w:ascii="Times New Roman" w:hAnsi="Times New Roman"/>
          <w:sz w:val="18"/>
        </w:rPr>
        <w:t>3. Monolithic LLC. Monolithic 102 Zoo Lean 4. Reviewed commit 05e6d093e1d22c9fded9ee3d2f10b0d56d53e256. https://github.com/enuminous/Monolithic-102-Zoo-Lean4. 2026.</w:t>
      </w:r>
    </w:p>
    <w:p>
      <w:pPr>
        <w:spacing w:after="80"/>
        <w:ind w:left="317" w:hanging="317"/>
      </w:pPr>
      <w:r>
        <w:rPr>
          <w:rFonts w:ascii="Times New Roman" w:hAnsi="Times New Roman"/>
          <w:sz w:val="18"/>
        </w:rPr>
        <w:t>4. Monolithic LLC. EFMW Zoo analysis and experimental test design notes. Internal research record. 2026.</w:t>
      </w:r>
    </w:p>
    <w:p>
      <w:pPr>
        <w:spacing w:after="80"/>
        <w:ind w:left="317" w:hanging="317"/>
      </w:pPr>
      <w:r>
        <w:rPr>
          <w:rFonts w:ascii="Times New Roman" w:hAnsi="Times New Roman"/>
          <w:sz w:val="18"/>
        </w:rPr>
        <w:t>5. Monolithic LLC. Reviewer handoff and evidence boundary for EFMW EXP-001. Internal research record. 2026.</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81"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16"/>
      </w:rPr>
      <w:t>EFMW experimental validation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16"/>
      </w:rPr>
      <w:t>EFMW experimental validation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16"/>
      </w:rPr>
      <w:t>EFMW experimental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Arial" w:hAnsi="Arial"/>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Experiments for Testing EFMW Coherence Monitoring</dc:title>
  <dc:subject>A validation program for recursive control degradation warnings</dc:subject>
  <dc:creator>Matthew Chenoweth Wright</dc:creator>
  <cp:keywords>EFMW, coherence monitoring, replication, control degradation</cp:keywords>
  <dc:description>Prepared as a bounded experimental paper from the EFMW top-five methods program.</dc:description>
  <cp:lastModifiedBy/>
  <cp:revision>1</cp:revision>
  <dcterms:created xsi:type="dcterms:W3CDTF">2013-12-23T23:15:00Z</dcterms:created>
  <dcterms:modified xsi:type="dcterms:W3CDTF">2013-12-23T23:15:00Z</dcterms:modified>
  <cp:category/>
</cp:coreProperties>
</file>