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pPr>
      <w:r>
        <w:t>The Record</w:t>
      </w:r>
    </w:p>
    <w:p>
      <w:pPr>
        <w:pStyle w:val="Subtitle"/>
        <w:spacing w:after="864"/>
      </w:pPr>
      <w:r>
        <w:t>Donald J. Trump in Documents,</w:t>
        <w:br/>
        <w:t>Outcomes, and Contested Claims</w:t>
      </w:r>
    </w:p>
    <w:p>
      <w:pPr>
        <w:pStyle w:val="Edition"/>
      </w:pPr>
      <w:r>
        <w:rPr>
          <w:b/>
        </w:rPr>
        <w:t>A shorter research draft in ten chapters</w:t>
      </w:r>
    </w:p>
    <w:p>
      <w:pPr>
        <w:pStyle w:val="Edition"/>
      </w:pPr>
      <w:r>
        <w:t>Evidence cutoff: October 20, 2026</w:t>
      </w:r>
    </w:p>
    <w:p>
      <w:pPr>
        <w:pStyle w:val="Edition"/>
      </w:pPr>
      <w:r>
        <w:t>Approximately 18,902 words of narrative, with linked chapter notes.</w:t>
      </w:r>
    </w:p>
    <w:p>
      <w:pPr>
        <w:pStyle w:val="Edition"/>
      </w:pPr>
      <w:r>
        <w:t>This edition does not fulfill the requested 400–450-page length. It presents a sourced narrative draft covering the requested chapter structure and identifies remaining research limits in Chapter 10. It should not be represented as an exhaustive, publication-ready biography.</w:t>
      </w:r>
    </w:p>
    <w:p>
      <w:pPr>
        <w:pStyle w:val="Edition"/>
      </w:pPr>
      <w:r>
        <w:t>Bracketed references in the narrative link to the notes. Source titles in the notes link to the cited records or reporting. Legal and policy status is limited to the stated cutoff; later developments are outside this edition.</w:t>
      </w:r>
    </w:p>
    <w:p>
      <w:pPr>
        <w:pStyle w:val="ChapterLabel"/>
        <w:pageBreakBefore/>
      </w:pPr>
      <w:r>
        <w:t>Chapter 1</w:t>
      </w:r>
    </w:p>
    <w:p>
      <w:pPr>
        <w:pStyle w:val="Heading1"/>
      </w:pPr>
      <w:r>
        <w:t>Origins and Early Business (1946–1980s)</w:t>
      </w:r>
    </w:p>
    <w:p>
      <w:r>
        <w:t xml:space="preserve">Donald John Trump was born in Queens on June 14, 1946, into a family whose business was the construction and ownership of housing. His father, Fred Trump, had accumulated property, operating experience, credit relationships, and political connections before Donald entered the enterprise. His mother, Mary Anne MacLeod Trump, had emigrated from Scotland. Donald was the fourth of five children. His later public identity would turn on movement from the outer boroughs to Manhattan, but the material foundation of that movement lay in a business already established on the other side of the East River. </w:t>
      </w:r>
      <w:r>
        <w:rPr>
          <w:sz w:val="20"/>
        </w:rPr>
        <w:t>[</w:t>
      </w:r>
      <w:hyperlink w:anchor="note_1_1">
        <w:r>
          <w:rPr>
            <w:color w:val="214F70"/>
            <w:sz w:val="20"/>
          </w:rPr>
          <w:t xml:space="preserve">1.1</w:t>
        </w:r>
      </w:hyperlink>
      <w:r>
        <w:rPr>
          <w:sz w:val="20"/>
        </w:rPr>
        <w:t>]</w:t>
      </w:r>
    </w:p>
    <w:p>
      <w:r>
        <w:t>The distinction mattered because Trump eventually presented his career as evidence that an unusually forceful individual could overcome institutions that restrained less determined people. Family resources did not build every later project or remove every risk. They did give him an entry into development that most aspiring builders lacked. An established property business supplied more than a possible inheritance. It supplied information about contractors and tenants, access to lenders, a record against which a new proposal could be assessed, and people capable of supporting a transaction before the younger developer possessed a comparable record of his own.</w:t>
      </w:r>
    </w:p>
    <w:p>
      <w:r>
        <w:t xml:space="preserve">Fred Trump's principal market differed from the one his son would cultivate. His work centered on residential properties in Brooklyn and Queens, including large apartment developments. Federal housing policy and government-supported financing helped shape that market. The family business operated within the institutions of postwar urban growth: mortgage insurance, zoning, public infrastructure, and a political system in which access to officials could affect the practicality of a project. The older Trump's enterprise was privately owned, but it was not detached from government. Donald's subsequent accounts of private initiative often gave less emphasis to that interdependence than the financing of his early Manhattan projects required. </w:t>
      </w:r>
      <w:r>
        <w:rPr>
          <w:sz w:val="20"/>
        </w:rPr>
        <w:t>[</w:t>
      </w:r>
      <w:hyperlink w:anchor="note_1_2">
        <w:r>
          <w:rPr>
            <w:color w:val="214F70"/>
            <w:sz w:val="20"/>
          </w:rPr>
          <w:t xml:space="preserve">1.2</w:t>
        </w:r>
      </w:hyperlink>
      <w:r>
        <w:rPr>
          <w:sz w:val="20"/>
        </w:rPr>
        <w:t>]</w:t>
      </w:r>
    </w:p>
    <w:p>
      <w:r>
        <w:t xml:space="preserve">Trump attended the New York Military Academy and then Fordham University before transferring to the University of Pennsylvania. He graduated in 1968 with an undergraduate degree in economics from Wharton. The credential was a bachelor's degree, not an MBA. During the Vietnam War, he received educational deferments and a medical deferment associated with a diagnosis of bone spurs. The public record establishes that he did not serve in the military. It does not, by itself, settle every later dispute about the medical basis of the exemption. </w:t>
      </w:r>
      <w:r>
        <w:rPr>
          <w:sz w:val="20"/>
        </w:rPr>
        <w:t>[</w:t>
      </w:r>
      <w:hyperlink w:anchor="note_1_3">
        <w:r>
          <w:rPr>
            <w:color w:val="214F70"/>
            <w:sz w:val="20"/>
          </w:rPr>
          <w:t xml:space="preserve">1.3</w:t>
        </w:r>
      </w:hyperlink>
      <w:r>
        <w:rPr>
          <w:sz w:val="20"/>
        </w:rPr>
        <w:t>]</w:t>
      </w:r>
    </w:p>
    <w:p>
      <w:r>
        <w:t xml:space="preserve">The family contained alternatives to the path Donald chose. His older brother, Fred Jr., became an airline pilot and died in 1981 after struggling with alcohol. Donald later spoke about his brother's experience when explaining his own avoidance of drinking. Such recollections are evidence of the account Trump gave of his conduct. They cannot supply an independent description of every private conversation in the family. A documentary biography must leave some of the household's emotional life beyond its reach rather than turn a later interview into an omniscient reconstruction. </w:t>
      </w:r>
      <w:r>
        <w:rPr>
          <w:sz w:val="20"/>
        </w:rPr>
        <w:t>[</w:t>
      </w:r>
      <w:hyperlink w:anchor="note_1_3">
        <w:r>
          <w:rPr>
            <w:color w:val="214F70"/>
            <w:sz w:val="20"/>
          </w:rPr>
          <w:t xml:space="preserve">1.3</w:t>
        </w:r>
      </w:hyperlink>
      <w:r>
        <w:rPr>
          <w:sz w:val="20"/>
        </w:rPr>
        <w:t>]</w:t>
      </w:r>
    </w:p>
    <w:p>
      <w:r>
        <w:t>After college, Donald joined the family business full time. During the early 1970s he assumed increasing responsibility and adopted the Trump Organization name for the collection of enterprises. The name suggested a single institution, but the businesses beneath it would take different legal forms, hold different assets, and incur different obligations. That distinction would become essential in later controversies. A claim against a company bearing the name was not automatically a claim against Donald personally; nor did the existence of separate entities make his decisions irrelevant to their conduct.</w:t>
      </w:r>
    </w:p>
    <w:p>
      <w:r>
        <w:t xml:space="preserve">His first major encounter with federal civil-rights enforcement came before his best-known Manhattan buildings. On October 15, 1973, the Justice Department sued Fred Trump, Donald Trump, and Trump Management in federal court in Brooklyn. The complaint alleged violations of the Fair Housing Act in the rental of apartments. The litigation concerned a portfolio described in the historical case record as 39 buildings containing more than 14,000 apartments. It was a civil enforcement action, not a criminal prosecution. </w:t>
      </w:r>
      <w:r>
        <w:rPr>
          <w:sz w:val="20"/>
        </w:rPr>
        <w:t>[</w:t>
      </w:r>
      <w:hyperlink w:anchor="note_1_4">
        <w:r>
          <w:rPr>
            <w:color w:val="214F70"/>
            <w:sz w:val="20"/>
          </w:rPr>
          <w:t xml:space="preserve">1.4</w:t>
        </w:r>
      </w:hyperlink>
      <w:r>
        <w:rPr>
          <w:sz w:val="20"/>
        </w:rPr>
        <w:t>]</w:t>
      </w:r>
    </w:p>
    <w:p>
      <w:r>
        <w:t xml:space="preserve">The government's evidence included accounts of applicants being treated differently according to race and statements from employees concerning rental practices. Investigators used the established method of comparing the experiences of Black applicants with those of white applicants seeking housing at the same properties. The Trumps denied unlawful discrimination. Their response, assisted by attorney Roy Cohn, included a large counterclaim against the government that did not succeed. These were opposing positions in litigation. A complaint and supporting affidavits were evidence of the allegations and the government's case, not a substitute for a trial verdict. </w:t>
      </w:r>
      <w:r>
        <w:rPr>
          <w:sz w:val="20"/>
        </w:rPr>
        <w:t>[</w:t>
      </w:r>
      <w:hyperlink w:anchor="note_1_5">
        <w:r>
          <w:rPr>
            <w:color w:val="214F70"/>
            <w:sz w:val="20"/>
          </w:rPr>
          <w:t xml:space="preserve">1.5</w:t>
        </w:r>
      </w:hyperlink>
      <w:r>
        <w:rPr>
          <w:sz w:val="20"/>
        </w:rPr>
        <w:t>]</w:t>
      </w:r>
    </w:p>
    <w:p>
      <w:r>
        <w:t xml:space="preserve">Cohn brought both legal experience and a public style. He treated an accusation as an occasion to attack the accuser, challenge motives, and seek a larger audience. Trump would later describe resistance to settling as a matter of reputation. In this case, however, the eventual resolution was a negotiated order. In June 1975 the parties entered a consent decree without an admission of wrongdoing by the defendants. No criminal finding of guilt resulted. </w:t>
      </w:r>
      <w:r>
        <w:rPr>
          <w:sz w:val="20"/>
        </w:rPr>
        <w:t>[</w:t>
      </w:r>
      <w:hyperlink w:anchor="note_1_6">
        <w:r>
          <w:rPr>
            <w:color w:val="214F70"/>
            <w:sz w:val="20"/>
          </w:rPr>
          <w:t xml:space="preserve">1.6</w:t>
        </w:r>
      </w:hyperlink>
      <w:r>
        <w:rPr>
          <w:sz w:val="20"/>
        </w:rPr>
        <w:t>]</w:t>
      </w:r>
    </w:p>
    <w:p>
      <w:r>
        <w:t xml:space="preserve">The decree nonetheless had practical content. It prohibited discrimination, required affirmative steps in advertising and rental procedures, and provided for information to be supplied to organizations helping minority applicants find housing. Its obligations made it more than the withdrawal of an accusation. The government obtained changes in the operation of the business; the defendants avoided a trial determination and retained the no-admission provision. In 1978 the Justice Department sought additional relief over alleged noncompliance. That later motion is another allegation in the record, not a new conviction. </w:t>
      </w:r>
      <w:r>
        <w:rPr>
          <w:sz w:val="20"/>
        </w:rPr>
        <w:t>[</w:t>
      </w:r>
      <w:hyperlink w:anchor="note_1_6">
        <w:r>
          <w:rPr>
            <w:color w:val="214F70"/>
            <w:sz w:val="20"/>
          </w:rPr>
          <w:t xml:space="preserve">1.6</w:t>
        </w:r>
      </w:hyperlink>
      <w:r>
        <w:rPr>
          <w:sz w:val="20"/>
        </w:rPr>
        <w:t xml:space="preserve">; </w:t>
      </w:r>
      <w:hyperlink w:anchor="note_1_7">
        <w:r>
          <w:rPr>
            <w:color w:val="214F70"/>
            <w:sz w:val="20"/>
          </w:rPr>
          <w:t xml:space="preserve">1.7</w:t>
        </w:r>
      </w:hyperlink>
      <w:r>
        <w:rPr>
          <w:sz w:val="20"/>
        </w:rPr>
        <w:t>]</w:t>
      </w:r>
    </w:p>
    <w:p>
      <w:r>
        <w:t>The housing case has often been reduced to one of two sentences: Trump was found guilty of racial discrimination, or Trump defeated a baseless lawsuit. Neither accurately describes the disposition. The first imports criminal language and a finding that the consent decree did not contain. The second omits the enforceable obligations the settlement imposed. The episode is significant precisely because its legal result and its public presentation were different things. It shows an early willingness to make the interpretation of a dispute part of the dispute itself.</w:t>
      </w:r>
    </w:p>
    <w:p>
      <w:r>
        <w:t>Trump's ambitions increasingly centered on Manhattan. The borough offered a market in which an individual project could become a citywide event. A building near a major terminal, a tower on Fifth Avenue, or a prominent hotel could make the developer's identity visible to people who would never rent one of his family's apartments. Location served a financial purpose and a publicity purpose at the same time.</w:t>
      </w:r>
    </w:p>
    <w:p>
      <w:r>
        <w:t xml:space="preserve">The Commodore Hotel provided the first major opportunity. Near Grand Central Terminal, the aging property belonged to the troubled Penn Central estate. Trump assembled a redevelopment arrangement involving Hyatt and public authorities, with financial support and guarantees connected to his father and partner. The hotel reopened as the Grand Hyatt in 1980. The transaction depended on an unusual tax arrangement as well as on private development. It emerged from a New York that had recently faced a severe fiscal crisis and was seeking investment, jobs, and confidence. </w:t>
      </w:r>
      <w:r>
        <w:rPr>
          <w:sz w:val="20"/>
        </w:rPr>
        <w:t>[</w:t>
      </w:r>
      <w:hyperlink w:anchor="note_1_8">
        <w:r>
          <w:rPr>
            <w:color w:val="214F70"/>
            <w:sz w:val="20"/>
          </w:rPr>
          <w:t xml:space="preserve">1.8</w:t>
        </w:r>
      </w:hyperlink>
      <w:r>
        <w:rPr>
          <w:sz w:val="20"/>
        </w:rPr>
        <w:t>]</w:t>
      </w:r>
    </w:p>
    <w:p>
      <w:r>
        <w:t>Supporters could reasonably point to the completed hotel as a concrete achievement. Trump had helped turn a difficult property into an operating business in a prominent location. The project required negotiation among institutions with different interests. Critics could reasonably ask whether the public concessions were too generous and whether a developer with less family access could have obtained comparable terms. Those questions do not cancel each other. The existence of a subsidy does not make a building imaginary; the existence of a building does not establish that the subsidy was the least costly way to obtain it.</w:t>
      </w:r>
    </w:p>
    <w:p>
      <w:r>
        <w:t xml:space="preserve">Trump Tower, which opened in 1983, gave the developer a permanent public stage. Apartments, offices, retail space, and a conspicuous atrium were brought together under his surname. The tower served as a residence and business address, a tourist destination, and eventually the site of a presidential campaign announcement. Its importance in the biography is not reducible to a valuation. It made the name a physical feature of a place associated with wealth and visibility. </w:t>
      </w:r>
      <w:r>
        <w:rPr>
          <w:sz w:val="20"/>
        </w:rPr>
        <w:t>[</w:t>
      </w:r>
      <w:hyperlink w:anchor="note_1_9">
        <w:r>
          <w:rPr>
            <w:color w:val="214F70"/>
            <w:sz w:val="20"/>
          </w:rPr>
          <w:t xml:space="preserve">1.9</w:t>
        </w:r>
      </w:hyperlink>
      <w:r>
        <w:rPr>
          <w:sz w:val="20"/>
        </w:rPr>
        <w:t>]</w:t>
      </w:r>
    </w:p>
    <w:p>
      <w:r>
        <w:t>The work also required the ordinary mechanisms of urban development: land assembly, demolition, design, labor, permits, financing, and sales. Trump's public narrative concentrated attention on the negotiator at the center. A building's completion, however, was necessarily collective. Architects, workers, lenders, tenants, partners, and officials all supplied parts of the result. Acknowledging that fact does not remove the developer's responsibility. It locates that responsibility within the process that actually produced the property.</w:t>
      </w:r>
    </w:p>
    <w:p>
      <w:r>
        <w:t xml:space="preserve">In 1977 Trump married Ivana Zelníčková, a Czech-born former skier and model who became involved in the business. They had three children, Donald Jr., Ivanka, and Eric. Ivana's work in design and hotel management made the marriage part of the enterprise's public identity. The family appeared as a unit of success: a young developer, a conspicuous spouse, children, buildings, and a surname that could be used across all of them. Later dissolution of the marriage would be reported in the same public space in which the image had been built. </w:t>
      </w:r>
      <w:r>
        <w:rPr>
          <w:sz w:val="20"/>
        </w:rPr>
        <w:t>[</w:t>
      </w:r>
      <w:hyperlink w:anchor="note_1_10">
        <w:r>
          <w:rPr>
            <w:color w:val="214F70"/>
            <w:sz w:val="20"/>
          </w:rPr>
          <w:t xml:space="preserve">1.10</w:t>
        </w:r>
      </w:hyperlink>
      <w:r>
        <w:rPr>
          <w:sz w:val="20"/>
        </w:rPr>
        <w:t>]</w:t>
      </w:r>
    </w:p>
    <w:p>
      <w:r>
        <w:t xml:space="preserve">Not every early project involved acquiring a major property. In 1986 Trump undertook the renovation of Central Park's Wollman skating rink after the city's long-running effort had failed to deliver a usable facility. Contemporary reporting recorded completion ahead of the revised schedule and below the agreed budget. It was a genuine, bounded success. The episode gave Trump a particularly effective comparison between his performance and a municipal process that had become embarrassing. </w:t>
      </w:r>
      <w:r>
        <w:rPr>
          <w:sz w:val="20"/>
        </w:rPr>
        <w:t>[</w:t>
      </w:r>
      <w:hyperlink w:anchor="note_1_11">
        <w:r>
          <w:rPr>
            <w:color w:val="214F70"/>
            <w:sz w:val="20"/>
          </w:rPr>
          <w:t xml:space="preserve">1.11</w:t>
        </w:r>
      </w:hyperlink>
      <w:r>
        <w:rPr>
          <w:sz w:val="20"/>
        </w:rPr>
        <w:t>]</w:t>
      </w:r>
    </w:p>
    <w:p>
      <w:r>
        <w:t>The rink could demonstrate that he and his contractors completed that job efficiently. It could not, without further evidence, establish that the same management approach would outperform public administration in every field. A construction repair with a visible endpoint differs from running schools, conducting foreign policy, or administering a legal entitlement. Yet the episode furnished the form of a claim that would recur in his political career: a conspicuous problem, institutions that appeared unable to solve it, and a leader who promised to intervene personally.</w:t>
      </w:r>
    </w:p>
    <w:p>
      <w:r>
        <w:t>By the middle of the 1980s, Trump's business identity had two foundations. One was tangible: completed developments, operating properties, financing arrangements, and a family enterprise with substantial assets. The other was representational: a developer whose name and statements could themselves generate attention. The first supplied material for the second, while the second helped attract customers and opportunities for the first. Neither could be understood adequately in isolation.</w:t>
      </w:r>
    </w:p>
    <w:p>
      <w:r>
        <w:t>The record of the early years therefore supports a more specific account than either inherited fortune alone or self-creation alone. Trump inherited access and substantial resources, pursued projects outside his father's customary market, completed buildings that changed his standing, and encountered civil enforcement that imposed obligations without an admission of liability. His distinctive achievement was not to abolish the dependence of development on institutions. It was to make his negotiation with those institutions into a story about himself. The next phase would test how far that story could carry an increasingly indebted group of businesses.</w:t>
      </w:r>
    </w:p>
    <w:p>
      <w:pPr>
        <w:pStyle w:val="ChapterLabel"/>
        <w:pageBreakBefore/>
      </w:pPr>
      <w:r>
        <w:t>Chapter 2</w:t>
      </w:r>
    </w:p>
    <w:p>
      <w:pPr>
        <w:pStyle w:val="Heading1"/>
      </w:pPr>
      <w:r>
        <w:t>Expansion, Bankruptcy, and Brand (1980s–1990s)</w:t>
      </w:r>
    </w:p>
    <w:p>
      <w:r>
        <w:t>The name on Trump Tower could be read as a claim about a completed building. In Atlantic City, Trump sought to make it a claim about an entire field of business. Casino gambling combined hotels, entertainment, property development, credit, and publicity. It also required enough recurring cash to service large debts. The distinction between a crowded property and a financially successful owner would become central to the next decade of his career.</w:t>
      </w:r>
    </w:p>
    <w:p>
      <w:r>
        <w:t xml:space="preserve">Trump entered Atlantic City's casino market in the 1980s. Trump Plaza opened in 1984; Trump Castle followed after his acquisition of another property. The Taj Mahal, a much larger project, opened in 1990. Its scale made the opening a media event, but its financing placed heavy demands on future revenue. The projects competed not only with other operators but also, in part, with one another. A visitor choosing one Trump casino rather than another did not necessarily represent new business for the combined enterprise. </w:t>
      </w:r>
      <w:r>
        <w:rPr>
          <w:sz w:val="20"/>
        </w:rPr>
        <w:t>[</w:t>
      </w:r>
      <w:hyperlink w:anchor="note_2_1">
        <w:r>
          <w:rPr>
            <w:color w:val="214F70"/>
            <w:sz w:val="20"/>
          </w:rPr>
          <w:t xml:space="preserve">2.1</w:t>
        </w:r>
      </w:hyperlink>
      <w:r>
        <w:rPr>
          <w:sz w:val="20"/>
        </w:rPr>
        <w:t>]</w:t>
      </w:r>
    </w:p>
    <w:p>
      <w:r>
        <w:t>The setting offered a strong argument for expansion. Legal casino gambling had created an industry capable of drawing visitors, producing tax receipts, and employing thousands of people. Large hotels and gaming floors were not merely publicity devices. They were operating businesses, with customers, staff, suppliers, and substantial gross revenues. For a developer accustomed to making scale visible, the industry offered a particularly direct way to display it.</w:t>
      </w:r>
    </w:p>
    <w:p>
      <w:r>
        <w:t>Gross revenue, however, was only the beginning of the financial account. Wages, operating expenses, maintenance, interest, and required capital improvements came before any durable return to owners. Borrowing could enable a property to open sooner and on a greater scale, but it could also make an otherwise viable operation unable to meet its obligations. An investor looking only at crowds or reported gaming revenue would miss the relation between the business and the debt attached to it.</w:t>
      </w:r>
    </w:p>
    <w:p>
      <w:r>
        <w:t xml:space="preserve">The distinction is not an explanation invented after the failures. The company's later securities filings repeatedly described debt, interest obligations, and restructuring arrangements as central to its condition. They also described assets that continued to operate. The historical question is therefore not whether the casinos existed or attracted business. They did. It is whether their earnings justified the financing structures and prices through which control had been acquired. </w:t>
      </w:r>
      <w:r>
        <w:rPr>
          <w:sz w:val="20"/>
        </w:rPr>
        <w:t>[</w:t>
      </w:r>
      <w:hyperlink w:anchor="note_2_2">
        <w:r>
          <w:rPr>
            <w:color w:val="214F70"/>
            <w:sz w:val="20"/>
          </w:rPr>
          <w:t xml:space="preserve">2.2</w:t>
        </w:r>
      </w:hyperlink>
      <w:r>
        <w:rPr>
          <w:sz w:val="20"/>
        </w:rPr>
        <w:t>]</w:t>
      </w:r>
    </w:p>
    <w:p>
      <w:r>
        <w:t xml:space="preserve">Expansion was not confined to gambling. Trump acquired the Plaza Hotel in Manhattan in 1988. The property carried symbolic value as well as a purchase price: it was a landmark whose reputation predated his ownership. Ivana Trump became involved in its management. His acquisition placed a famous hotel within a public narrative of accumulation, but the business still had to carry the consequences of the transaction. Prestige did not exempt it from interest payments. The Plaza Hotel entered a corporate restructuring under Chapter 11 in 1992. It should not be confused with the similarly named Trump Plaza casino in Atlantic City. </w:t>
      </w:r>
      <w:r>
        <w:rPr>
          <w:sz w:val="20"/>
        </w:rPr>
        <w:t>[</w:t>
      </w:r>
      <w:hyperlink w:anchor="note_2_3">
        <w:r>
          <w:rPr>
            <w:color w:val="214F70"/>
            <w:sz w:val="20"/>
          </w:rPr>
          <w:t xml:space="preserve">2.3</w:t>
        </w:r>
      </w:hyperlink>
      <w:r>
        <w:rPr>
          <w:sz w:val="20"/>
        </w:rPr>
        <w:t>]</w:t>
      </w:r>
    </w:p>
    <w:p>
      <w:r>
        <w:t>By this time, the Trump name also appeared on ventures outside his established property businesses. The breadth of activity encouraged a perception that the same personal capacity could be transferred from one industry to another. That perception was commercially useful, but the evidence for it had to be assessed venture by venture. A hotel, an airline, a sports franchise, and a book have different capital requirements and competitive constraints. The recurrence of the name did not make their economics interchangeable.</w:t>
      </w:r>
    </w:p>
    <w:p>
      <w:r>
        <w:t xml:space="preserve">In 1987, Trump and Tony Schwartz published The Art of the Deal. The book presented business as a sequence of choices by an assertive negotiator. It was also a product through which the developer's own account of his methods reached a much larger audience. A memoir of business is a primary source for how its subject wanted to be understood. It is less secure as a final adjudication of what partners, officials, or opponents contributed to each transaction. </w:t>
      </w:r>
      <w:r>
        <w:rPr>
          <w:sz w:val="20"/>
        </w:rPr>
        <w:t>[</w:t>
      </w:r>
      <w:hyperlink w:anchor="note_2_4">
        <w:r>
          <w:rPr>
            <w:color w:val="214F70"/>
            <w:sz w:val="20"/>
          </w:rPr>
          <w:t xml:space="preserve">2.4</w:t>
        </w:r>
      </w:hyperlink>
      <w:r>
        <w:rPr>
          <w:sz w:val="20"/>
        </w:rPr>
        <w:t>]</w:t>
      </w:r>
    </w:p>
    <w:p>
      <w:r>
        <w:t>The book's success helped detach Trump's authority from any single project. A reader could encounter him as a teacher of business without examining a casino balance sheet or a development agreement. Television appearances and interviews extended the effect. His persona became that of someone qualified to explain winning, negotiating, and wealth. The commercial value of that persona could persist even when individual holdings performed poorly.</w:t>
      </w:r>
    </w:p>
    <w:p>
      <w:r>
        <w:t xml:space="preserve">The early 1990s exposed the limit of expansion financed on optimistic assumptions. The Taj Mahal entered Chapter 11 in 1991. Trump Plaza and Trump Castle entered bankruptcy proceedings in 1992, as did the Manhattan Plaza Hotel. Later corporate filings acknowledged these events. They were corporate bankruptcies, not a personal bankruptcy filing by Donald Trump. That is a material distinction, not a technical excuse. The entity filing for protection determines the assets, creditors, and obligations before the court. </w:t>
      </w:r>
      <w:r>
        <w:rPr>
          <w:sz w:val="20"/>
        </w:rPr>
        <w:t>[</w:t>
      </w:r>
      <w:hyperlink w:anchor="note_2_5">
        <w:r>
          <w:rPr>
            <w:color w:val="214F70"/>
            <w:sz w:val="20"/>
          </w:rPr>
          <w:t xml:space="preserve">2.5</w:t>
        </w:r>
      </w:hyperlink>
      <w:r>
        <w:rPr>
          <w:sz w:val="20"/>
        </w:rPr>
        <w:t>]</w:t>
      </w:r>
    </w:p>
    <w:p>
      <w:r>
        <w:t>Chapter 11 is a legal mechanism for reorganizing obligations. It can preserve an operating business while creditors accept altered payment terms, exchange debt for ownership, or receive less than the original contracts promised. It does not automatically mean that every asset has disappeared or that the principal shareholder has no remaining wealth. Nor does the availability of the mechanism make the original financial decisions successful. A business may survive because parties agree to absorb losses that they would not have accepted at the outset.</w:t>
      </w:r>
    </w:p>
    <w:p>
      <w:r>
        <w:t>Trump emphasized the first part of that account. He portrayed the use of bankruptcy law as a rational exercise of options available to businesspeople. Critics emphasized the second: lenders, bondholders, suppliers, and investors could bear losses even when he retained a public profile or some ongoing economic interest. Both descriptions can fit a particular restructuring. Assessing the result requires asking whose return is being measured and against what initial commitment.</w:t>
      </w:r>
    </w:p>
    <w:p>
      <w:r>
        <w:t>The record does not support the simple statement that Trump personally filed for bankruptcy repeatedly. It supports repeated resort to bankruptcy by businesses he owned, controlled, or helped establish. Conversely, the separation of corporate and personal filings does not warrant saying that the bankruptcies had nothing to do with him. The projects' financing, acquisition, management, and use of his identity were parts of his business career. Corporate form limits and organizes liability; it does not erase biography.</w:t>
      </w:r>
    </w:p>
    <w:p>
      <w:r>
        <w:t xml:space="preserve">Counts of the bankruptcies vary because some accounts group simultaneous property cases into one episode while others count distinct companies. Securities disclosures identify the Taj Mahal in 1991, three properties in 1992, Trump Hotels &amp; Casino Resorts in 2004, and Trump Entertainment Resorts in 2009. The often-used total of six refers to that grouping of corporate cases. A later bankruptcy by a successor company after Trump had relinquished control should be described with its own ownership context. </w:t>
      </w:r>
      <w:r>
        <w:rPr>
          <w:sz w:val="20"/>
        </w:rPr>
        <w:t>[</w:t>
      </w:r>
      <w:hyperlink w:anchor="note_2_5">
        <w:r>
          <w:rPr>
            <w:color w:val="214F70"/>
            <w:sz w:val="20"/>
          </w:rPr>
          <w:t xml:space="preserve">2.5</w:t>
        </w:r>
      </w:hyperlink>
      <w:r>
        <w:rPr>
          <w:sz w:val="20"/>
        </w:rPr>
        <w:t>]</w:t>
      </w:r>
    </w:p>
    <w:p>
      <w:r>
        <w:t xml:space="preserve">The difference between the 1990s and the later filings also matters. Atlantic City's position changed over time, and competition outside the city became a more important problem in later years. It would be inaccurate to explain every early financial failure as the inevitable effect of conditions that developed afterward. It would be equally inaccurate to attribute the entire decline of an industry to a single operator. Trump's companies made identifiable decisions within a market that had its own larger trajectory. </w:t>
      </w:r>
      <w:r>
        <w:rPr>
          <w:sz w:val="20"/>
        </w:rPr>
        <w:t>[</w:t>
      </w:r>
      <w:hyperlink w:anchor="note_2_6">
        <w:r>
          <w:rPr>
            <w:color w:val="214F70"/>
            <w:sz w:val="20"/>
          </w:rPr>
          <w:t xml:space="preserve">2.6</w:t>
        </w:r>
      </w:hyperlink>
      <w:r>
        <w:rPr>
          <w:sz w:val="20"/>
        </w:rPr>
        <w:t>]</w:t>
      </w:r>
    </w:p>
    <w:p>
      <w:r>
        <w:t xml:space="preserve">In the middle of the decade, a publicly traded casino company gave outside investors a new way to participate in the businesses. Public ownership imposed disclosure obligations, but it also separated the performance of the enterprise from the continuing value of Trump's personal name. The company could carry debt and report losses while licensing arrangements, compensation, or publicity benefited an individual. Any claim that he profited at others' expense must be tied to specific transactions; the structure nevertheless makes clear why personal visibility cannot substitute for shareholder returns. </w:t>
      </w:r>
      <w:r>
        <w:rPr>
          <w:sz w:val="20"/>
        </w:rPr>
        <w:t>[</w:t>
      </w:r>
      <w:hyperlink w:anchor="note_2_2">
        <w:r>
          <w:rPr>
            <w:color w:val="214F70"/>
            <w:sz w:val="20"/>
          </w:rPr>
          <w:t xml:space="preserve">2.2</w:t>
        </w:r>
      </w:hyperlink>
      <w:r>
        <w:rPr>
          <w:sz w:val="20"/>
        </w:rPr>
        <w:t>]</w:t>
      </w:r>
    </w:p>
    <w:p>
      <w:r>
        <w:t xml:space="preserve">The family story was changing at the same time. The breakdown of Trump's marriage to Ivana and his relationship with Marla Maples became subjects of extensive tabloid coverage. Donald and Ivana divorced in 1992. He married Maples in 1993, and they had a daughter, Tiffany. That marriage ended in divorce in 1999. These are documented changes in family status. The surrounding coverage mixed reporting, statements from interested parties, and publicity that could not always be independently reconstructed. </w:t>
      </w:r>
      <w:r>
        <w:rPr>
          <w:sz w:val="20"/>
        </w:rPr>
        <w:t>[</w:t>
      </w:r>
      <w:hyperlink w:anchor="note_2_7">
        <w:r>
          <w:rPr>
            <w:color w:val="214F70"/>
            <w:sz w:val="20"/>
          </w:rPr>
          <w:t xml:space="preserve">2.7</w:t>
        </w:r>
      </w:hyperlink>
      <w:r>
        <w:rPr>
          <w:sz w:val="20"/>
        </w:rPr>
        <w:t>]</w:t>
      </w:r>
    </w:p>
    <w:p>
      <w:r>
        <w:t>The divorces were neither corporate bankruptcies nor evidence of a particular financial offense. They nonetheless affected the public figure whose family and business identities had been deliberately linked. Personal relationships became part of the market for news about Trump. The same newspapers that covered new properties covered marital disputes, and each subject could increase interest in the other. That mutual reinforcement made the boundary between private conduct and commercial persona unusually permeable.</w:t>
      </w:r>
    </w:p>
    <w:p>
      <w:r>
        <w:t>The record of wealth presents another problem. Real estate valuations depend on assumptions about rents, occupancy, expenses, comparable sales, restrictions, and debt. A portfolio's estimated value is not the same as liquid cash available to its owner. Trump's statements about his net worth often served a promotional purpose. Subsequent reporting and litigation challenged particular valuations and accounts of how much support he had received from his family. Those challenges must be evaluated on their own evidence, rather than retroactively treated as findings that every earlier estimate was fraudulent.</w:t>
      </w:r>
    </w:p>
    <w:p>
      <w:r>
        <w:t xml:space="preserve">In 2018, a New York Times investigation of family financial records estimated that Trump had received at least $413 million, expressed in 2018 dollars, from his father's empire. The reporting also alleged improper tax practices in transfers of family wealth. Trump's lawyer disputed allegations of fraud and tax evasion. The estimate is a major reported reconstruction, not a criminal judgment, and its inflation adjustment must remain attached to the number. It bears on the scale of family assistance; it cannot establish the legality of every transfer by assertion. </w:t>
      </w:r>
      <w:r>
        <w:rPr>
          <w:sz w:val="20"/>
        </w:rPr>
        <w:t>[</w:t>
      </w:r>
      <w:hyperlink w:anchor="note_2_8">
        <w:r>
          <w:rPr>
            <w:color w:val="214F70"/>
            <w:sz w:val="20"/>
          </w:rPr>
          <w:t xml:space="preserve">2.8</w:t>
        </w:r>
      </w:hyperlink>
      <w:r>
        <w:rPr>
          <w:sz w:val="20"/>
        </w:rPr>
        <w:t>]</w:t>
      </w:r>
    </w:p>
    <w:p>
      <w:r>
        <w:t>What can be stated without resolving all valuation disputes is that Trump's business career was not a clean progression from a small loan to uninterrupted accumulation. It included substantial inherited advantages, completed developments, large debts, negotiated losses, changes in ownership, and a reputation that proved more resilient than several balance sheets. The endurance of the reputation is a factual part of the story, not evidence that the financial difficulties were inconsequential.</w:t>
      </w:r>
    </w:p>
    <w:p>
      <w:r>
        <w:t>By the end of the 1990s, Trump had demonstrated an ability to remain publicly prominent after setbacks that might have ended another developer's national visibility. That ability would become the basis of a different kind of business. Instead of relying primarily on ownership of every asset carrying his surname, he could sell access to the name, an appearance, or an image of judgment. The shift would reduce some direct capital demands while creating new questions about what consumers were being promised when they purchased a Trump-branded product.</w:t>
      </w:r>
    </w:p>
    <w:p>
      <w:pPr>
        <w:pStyle w:val="ChapterLabel"/>
        <w:pageBreakBefore/>
      </w:pPr>
      <w:r>
        <w:t>Chapter 3</w:t>
      </w:r>
    </w:p>
    <w:p>
      <w:pPr>
        <w:pStyle w:val="Heading1"/>
      </w:pPr>
      <w:r>
        <w:t>The 2000s: Seminars, Settlements, and Public Persona</w:t>
      </w:r>
    </w:p>
    <w:p>
      <w:r>
        <w:t xml:space="preserve">When The Apprentice began on NBC in 2004, Trump appeared in a position different from the one described in the disclosures of his casino businesses. On television he was the judge. Contestants proposed, competed, explained themselves, and waited for his decision. The program made his authority its organizing premise. It did not ask viewers to decide whether his previous investment returns qualified him for that role. The entertainment worked because the role was already legible. </w:t>
      </w:r>
      <w:r>
        <w:rPr>
          <w:sz w:val="20"/>
        </w:rPr>
        <w:t>[</w:t>
      </w:r>
      <w:hyperlink w:anchor="note_3_1">
        <w:r>
          <w:rPr>
            <w:color w:val="214F70"/>
            <w:sz w:val="20"/>
          </w:rPr>
          <w:t xml:space="preserve">3.1</w:t>
        </w:r>
      </w:hyperlink>
      <w:r>
        <w:rPr>
          <w:sz w:val="20"/>
        </w:rPr>
        <w:t>]</w:t>
      </w:r>
    </w:p>
    <w:p>
      <w:r>
        <w:t>The format joined business aspiration to a familiar competition. A viewer did not need expertise in real-estate finance to understand who remained in the contest and who had been dismissed. Trump's offices and properties supplied settings, while the recurring boardroom confrontation supplied an ending. Mark Burnett's production converted elements of the business persona into a repeatable story. That did not mean the show was a financial audit, or that every televised judgment represented an unedited business process.</w:t>
      </w:r>
    </w:p>
    <w:p>
      <w:r>
        <w:t xml:space="preserve">The first season was a substantial ratings success. Contemporary audience reporting put its finale at roughly 28 million viewers. Later seasons did not all match that level, but the initial achievement gave Trump a recurring presence in homes far beyond the New York property market. Television enlarged the population familiar with his name and the particular association attached to it: a powerful employer who evaluated competence and delivered decisions. </w:t>
      </w:r>
      <w:r>
        <w:rPr>
          <w:sz w:val="20"/>
        </w:rPr>
        <w:t>[</w:t>
      </w:r>
      <w:hyperlink w:anchor="note_3_2">
        <w:r>
          <w:rPr>
            <w:color w:val="214F70"/>
            <w:sz w:val="20"/>
          </w:rPr>
          <w:t xml:space="preserve">3.2</w:t>
        </w:r>
      </w:hyperlink>
      <w:r>
        <w:rPr>
          <w:sz w:val="20"/>
        </w:rPr>
        <w:t>]</w:t>
      </w:r>
    </w:p>
    <w:p>
      <w:r>
        <w:t>The commercial importance of that association extended beyond the program. Licensing could generate revenue without requiring Trump to own or finance every building or product bearing his name. A developer elsewhere could purchase the use of a recognized identity; a consumer could interpret that identity as an indication of quality or oversight. The legal contract between licensor and developer might be much narrower than the impression conveyed by the branding. Where disputes arose, the terms of the actual agreement mattered more than the prominence of the name.</w:t>
      </w:r>
    </w:p>
    <w:p>
      <w:r>
        <w:t>The business model therefore changed the location of some risks. Direct development put capital, construction costs, and eventual operating results on the owner's account. Licensing could leave those obligations with another party while producing fees for the name's owner. It did not eliminate risk altogether. A poorly completed project could damage the name, and customers could challenge representations about participation, management, or investment value. The reduced need to own the asset did not remove the need to describe the relationship accurately.</w:t>
      </w:r>
    </w:p>
    <w:p>
      <w:r>
        <w:t xml:space="preserve">Public-company regulation had already supplied a concrete example of the difference between presentation and accounting. In January 2002 the Securities and Exchange Commission brought an administrative case against Trump Hotels &amp; Casino Resorts concerning a 1999 earnings release. The agency said the release created a misleading impression about operating performance by its treatment of a nonrecurring item. The company resolved the proceeding through a cease-and-desist order without admitting or denying the findings. This was a settled regulatory action against the company, not a criminal conviction of Trump. </w:t>
      </w:r>
      <w:r>
        <w:rPr>
          <w:sz w:val="20"/>
        </w:rPr>
        <w:t>[</w:t>
      </w:r>
      <w:hyperlink w:anchor="note_3_3">
        <w:r>
          <w:rPr>
            <w:color w:val="214F70"/>
            <w:sz w:val="20"/>
          </w:rPr>
          <w:t xml:space="preserve">3.3</w:t>
        </w:r>
      </w:hyperlink>
      <w:r>
        <w:rPr>
          <w:sz w:val="20"/>
        </w:rPr>
        <w:t>]</w:t>
      </w:r>
    </w:p>
    <w:p>
      <w:r>
        <w:t>The case was narrower than a judgment on every financial statement the company had issued. Its significance lay in the regulator's treatment of a specific presentation: a headline account of earnings could be misleading even when some underlying figures appeared elsewhere. The reader's likely understanding of the release mattered. That question would recur in another setting when Trump's business experience became the basis of a product sold to prospective investors in their own future.</w:t>
      </w:r>
    </w:p>
    <w:p>
      <w:r>
        <w:t xml:space="preserve">Trump University began offering real-estate instruction in the middle of the decade. It was not an accredited university granting conventional academic degrees. The business sold courses and seminars under a name that connected education to Trump's reputation. Its sales proposition rested on access to methods, instructors, or knowledge associated with a person represented as exceptionally successful in the field. Buyers were not merely purchasing classroom time. They were purchasing an asserted route toward business competence. </w:t>
      </w:r>
      <w:r>
        <w:rPr>
          <w:sz w:val="20"/>
        </w:rPr>
        <w:t>[</w:t>
      </w:r>
      <w:hyperlink w:anchor="note_3_4">
        <w:r>
          <w:rPr>
            <w:color w:val="214F70"/>
            <w:sz w:val="20"/>
          </w:rPr>
          <w:t xml:space="preserve">3.4</w:t>
        </w:r>
      </w:hyperlink>
      <w:r>
        <w:rPr>
          <w:sz w:val="20"/>
        </w:rPr>
        <w:t>]</w:t>
      </w:r>
    </w:p>
    <w:p>
      <w:r>
        <w:t>The subsequent lawsuits alleged that the marketing and sales practices failed to deliver what consumers had been led to expect. Plaintiffs challenged representations about the program's relationship to Trump and about the value and character of increasingly expensive offerings. The defendants disputed wrongdoing. Some former participants supported the program; the existence of favorable accounts did not determine whether other customers had been misled. Nor did a dissatisfied customer, standing alone, establish that every offering was fraudulent.</w:t>
      </w:r>
    </w:p>
    <w:p>
      <w:r>
        <w:t xml:space="preserve">Litigation developed in California and New York. The cases involved different legal claims and procedural histories, which cannot be reduced to a single criminal accusation. New York's attorney general pursued civil enforcement, while private plaintiffs pursued class claims. The disputes remained active as Trump sought the presidency. His attacks on federal Judge Gonzalo Curiel, including references to the judge's Mexican heritage, made the litigation a campaign controversy as well as a consumer case. Curiel was a United States-born federal judge; ancestry did not establish a legal conflict of interest. </w:t>
      </w:r>
      <w:r>
        <w:rPr>
          <w:sz w:val="20"/>
        </w:rPr>
        <w:t>[</w:t>
      </w:r>
      <w:hyperlink w:anchor="note_3_5">
        <w:r>
          <w:rPr>
            <w:color w:val="214F70"/>
            <w:sz w:val="20"/>
          </w:rPr>
          <w:t xml:space="preserve">3.5</w:t>
        </w:r>
      </w:hyperlink>
      <w:r>
        <w:rPr>
          <w:sz w:val="20"/>
        </w:rPr>
        <w:t>]</w:t>
      </w:r>
    </w:p>
    <w:p>
      <w:r>
        <w:t xml:space="preserve">In November 2016, after the election, the parties agreed to a $25 million settlement resolving the principal Trump University litigation. The settlement contained no admission of wrongdoing. The division of funds included $21 million for the class litigation and $4 million associated with the New York action. Court review and an appeal over the settlement process continued afterward. The Ninth Circuit's 2018 decision addressed the class settlement and an objection to it, rather than trying the underlying allegations of fraud. </w:t>
      </w:r>
      <w:r>
        <w:rPr>
          <w:sz w:val="20"/>
        </w:rPr>
        <w:t>[</w:t>
      </w:r>
      <w:hyperlink w:anchor="note_3_6">
        <w:r>
          <w:rPr>
            <w:color w:val="214F70"/>
            <w:sz w:val="20"/>
          </w:rPr>
          <w:t xml:space="preserve">3.6</w:t>
        </w:r>
      </w:hyperlink>
      <w:r>
        <w:rPr>
          <w:sz w:val="20"/>
        </w:rPr>
        <w:t>]</w:t>
      </w:r>
    </w:p>
    <w:p>
      <w:r>
        <w:t xml:space="preserve">The settlement's practical effect was substantial compensation for participating claimants. The courts and parties discussed recovery of a large share of what eligible students had paid, assisted by class counsel's decision to forgo fees. Precise recovery varied with the settlement's administration and the claims involved. It would be misleading to describe the $25 million as a criminal fine. It would also be misleading to omit the payment because the defendants admitted no wrongdoing. A settlement is both a legal compromise and an economic outcome. </w:t>
      </w:r>
      <w:r>
        <w:rPr>
          <w:sz w:val="20"/>
        </w:rPr>
        <w:t>[</w:t>
      </w:r>
      <w:hyperlink w:anchor="note_3_6">
        <w:r>
          <w:rPr>
            <w:color w:val="214F70"/>
            <w:sz w:val="20"/>
          </w:rPr>
          <w:t xml:space="preserve">3.6</w:t>
        </w:r>
      </w:hyperlink>
      <w:r>
        <w:rPr>
          <w:sz w:val="20"/>
        </w:rPr>
        <w:t xml:space="preserve">; </w:t>
      </w:r>
      <w:hyperlink w:anchor="note_3_7">
        <w:r>
          <w:rPr>
            <w:color w:val="214F70"/>
            <w:sz w:val="20"/>
          </w:rPr>
          <w:t xml:space="preserve">3.7</w:t>
        </w:r>
      </w:hyperlink>
      <w:r>
        <w:rPr>
          <w:sz w:val="20"/>
        </w:rPr>
        <w:t>]</w:t>
      </w:r>
    </w:p>
    <w:p>
      <w:r>
        <w:t>The episode exposed a vulnerability in the transfer of a personal brand to instruction. The authority displayed on television was experiential and theatrical: audiences saw Trump evaluate other people. A course purchaser could reasonably ask what contractual commitments stood behind the implied promise that the authority could be taught. In the litigation, the question was not whether wealth is generally attractive or whether Trump was famous. It was what buyers were told, what they received, and what the law required of the seller.</w:t>
      </w:r>
    </w:p>
    <w:p>
      <w:r>
        <w:t xml:space="preserve">The late-2000s financial crisis affected the wider real-estate market while Trump's public visibility remained high. Trump Hotels &amp; Casino Resorts had already entered Chapter 11 in 2004. Trump Entertainment Resorts followed in 2009. These events belong to the same period in which the television persona was presenting decisiveness and business success to a mass audience. The coexistence is not a contradiction that must be resolved by dismissing one record. The television enterprise and the casino companies were different businesses, with different revenue sources and obligations. </w:t>
      </w:r>
      <w:r>
        <w:rPr>
          <w:sz w:val="20"/>
        </w:rPr>
        <w:t>[</w:t>
      </w:r>
      <w:hyperlink w:anchor="note_3_8">
        <w:r>
          <w:rPr>
            <w:color w:val="214F70"/>
            <w:sz w:val="20"/>
          </w:rPr>
          <w:t xml:space="preserve">3.8</w:t>
        </w:r>
      </w:hyperlink>
      <w:r>
        <w:rPr>
          <w:sz w:val="20"/>
        </w:rPr>
        <w:t>]</w:t>
      </w:r>
    </w:p>
    <w:p>
      <w:r>
        <w:t xml:space="preserve">Golf courses became another important part of the portfolio. They connected land, hospitality, recreation, membership, and the Trump identity. International projects also placed the business within legal and political systems he did not control. A prominent example was his Scottish golf company's challenge to approval of an offshore wind development. In December 2015 the United Kingdom Supreme Court dismissed the appeal. That was a legal defeat on a particular planning and statutory dispute, not a finding that the golf business itself was unlawful. </w:t>
      </w:r>
      <w:r>
        <w:rPr>
          <w:sz w:val="20"/>
        </w:rPr>
        <w:t>[</w:t>
      </w:r>
      <w:hyperlink w:anchor="note_3_9">
        <w:r>
          <w:rPr>
            <w:color w:val="214F70"/>
            <w:sz w:val="20"/>
          </w:rPr>
          <w:t xml:space="preserve">3.9</w:t>
        </w:r>
      </w:hyperlink>
      <w:r>
        <w:rPr>
          <w:sz w:val="20"/>
        </w:rPr>
        <w:t>]</w:t>
      </w:r>
    </w:p>
    <w:p>
      <w:r>
        <w:t>The distinction illustrates a persistent feature of the record. Trump frequently described a commercial disagreement in terms of whether an opponent respected his investment or judgment. Courts asked different questions: what a statute authorized, what a contract meant, whether evidence established a cause of action, and what remedy followed. The two processes could produce different narratives of the same event. A determined campaign against a decision could preserve the public posture of resistance while leaving the legal decision unchanged.</w:t>
      </w:r>
    </w:p>
    <w:p>
      <w:r>
        <w:t xml:space="preserve">In 2005 Trump married Melania Knauss. Their son, Barron, was born the following year. The marriage joined a family whose public presentation increasingly involved adult children participating in the business. Donald Jr., Ivanka, and Eric appeared in corporate and television settings, helping make the Trump Organization look like a continuing family institution rather than only the work of one developer. Their later political and governmental roles would make the overlap more consequential. </w:t>
      </w:r>
      <w:r>
        <w:rPr>
          <w:sz w:val="20"/>
        </w:rPr>
        <w:t>[</w:t>
      </w:r>
      <w:hyperlink w:anchor="note_3_10">
        <w:r>
          <w:rPr>
            <w:color w:val="214F70"/>
            <w:sz w:val="20"/>
          </w:rPr>
          <w:t xml:space="preserve">3.10</w:t>
        </w:r>
      </w:hyperlink>
      <w:r>
        <w:rPr>
          <w:sz w:val="20"/>
        </w:rPr>
        <w:t>]</w:t>
      </w:r>
    </w:p>
    <w:p>
      <w:r>
        <w:t xml:space="preserve">The charitable foundation introduced another form of institutional overlap. Although the litigation came later, conduct involving the Donald J. Trump Foundation drew on the same mixture of business, personal identity, and public activity. New York's 2019 resolution included stipulated facts and a court-ordered $2 million payment by Trump over misuse of charitable funds, including political coordination. The foundation dissolved and its remaining assets went to charities. This was not a no-admission settlement identical to Trump University's; the agreed factual record matters. </w:t>
      </w:r>
      <w:r>
        <w:rPr>
          <w:sz w:val="20"/>
        </w:rPr>
        <w:t>[</w:t>
      </w:r>
      <w:hyperlink w:anchor="note_3_11">
        <w:r>
          <w:rPr>
            <w:color w:val="214F70"/>
            <w:sz w:val="20"/>
          </w:rPr>
          <w:t xml:space="preserve">3.11</w:t>
        </w:r>
      </w:hyperlink>
      <w:r>
        <w:rPr>
          <w:sz w:val="20"/>
        </w:rPr>
        <w:t>]</w:t>
      </w:r>
    </w:p>
    <w:p>
      <w:r>
        <w:t>By the approach of the 2016 campaign, Trump's public standing could no longer be described solely in terms of the properties he owned. He had a recognizable television role, a catalog of branded ventures, a record of corporate restructurings, and unresolved consumer litigation. To supporters, his survival across those environments demonstrated adaptability and bargaining strength. To critics, the gap between the brand and particular outcomes showed that publicity insulated him from ordinary measures of performance. Each interpretation selected a real part of the record. Neither relieved a biographer of comparing the claims with individual transactions.</w:t>
      </w:r>
    </w:p>
    <w:p>
      <w:r>
        <w:t>The most consequential product of this period may have been familiarity. Millions of people had repeatedly encountered Trump in a setting where leadership meant making a decision in front of an audience. That familiarity did not tell them how he would administer a government. It did mean that when he later offered himself as a national executive, he arrived with a role already rehearsed in public. The transition into politics would draw heavily on that recognition, while bringing his private conduct and business disputes under a different scale of scrutiny.</w:t>
      </w:r>
    </w:p>
    <w:p>
      <w:pPr>
        <w:pStyle w:val="ChapterLabel"/>
        <w:pageBreakBefore/>
      </w:pPr>
      <w:r>
        <w:t>Chapter 4</w:t>
      </w:r>
    </w:p>
    <w:p>
      <w:pPr>
        <w:pStyle w:val="Heading1"/>
      </w:pPr>
      <w:r>
        <w:t>Personal Conduct and Allegations</w:t>
      </w:r>
    </w:p>
    <w:p>
      <w:r>
        <w:t>Trump's personal life became public long before he ran for office. His marriage to Ivana, the collapse of that marriage, his relationship with Marla Maples, and his subsequent marriages were covered alongside property purchases and television appearances. Publicity did not make every account of private conduct reliable. It did make his presentation of himself as a husband, father, employer, and celebrity part of the record through which voters later encountered him.</w:t>
      </w:r>
    </w:p>
    <w:p>
      <w:r>
        <w:t xml:space="preserve">The chronology of the marriages is clear. Donald and Ivana married in 1977 and divorced in 1992. His relationship with Maples overlapped the end of that marriage; they married in 1993 and divorced in 1999. He married Melania in 2005. The marriages produced five children. The documented relationship with Maples should be distinguished from later allegations of other encounters that Trump denied. Reporting all of them as equally established would discard a basic difference in the evidence. </w:t>
      </w:r>
      <w:r>
        <w:rPr>
          <w:sz w:val="20"/>
        </w:rPr>
        <w:t>[</w:t>
      </w:r>
      <w:hyperlink w:anchor="note_4_1">
        <w:r>
          <w:rPr>
            <w:color w:val="214F70"/>
            <w:sz w:val="20"/>
          </w:rPr>
          <w:t xml:space="preserve">4.1</w:t>
        </w:r>
      </w:hyperlink>
      <w:r>
        <w:rPr>
          <w:sz w:val="20"/>
        </w:rPr>
        <w:t>]</w:t>
      </w:r>
    </w:p>
    <w:p>
      <w:r>
        <w:t xml:space="preserve">The most important direct recording of his comments about sexual conduct originated in 2005. While preparing for an Access Hollywood appearance, Trump spoke with Billy Bush about women, kissing, and the latitude he believed celebrity afforded him. The recording became public on October 7, 2016. Its evidentiary importance is straightforward: it records what Trump said. The statements included descriptions of initiating contact without waiting and of grabbing women's genitals. They were not a sworn account identifying a particular complainant or proving every later allegation. </w:t>
      </w:r>
      <w:r>
        <w:rPr>
          <w:sz w:val="20"/>
        </w:rPr>
        <w:t>[</w:t>
      </w:r>
      <w:hyperlink w:anchor="note_4_2">
        <w:r>
          <w:rPr>
            <w:color w:val="214F70"/>
            <w:sz w:val="20"/>
          </w:rPr>
          <w:t xml:space="preserve">4.2</w:t>
        </w:r>
      </w:hyperlink>
      <w:r>
        <w:rPr>
          <w:sz w:val="20"/>
        </w:rPr>
        <w:t>]</w:t>
      </w:r>
    </w:p>
    <w:p>
      <w:r>
        <w:t>Trump first characterized the exchange as private banter and then issued a recorded apology. He also described the language as locker-room talk. Those explanations belong in the account because they were his public response. They do not alter the words on the tape. Critics understood the recording as a description of entitlement to unwanted contact; defenders argued that crude speech was being confused with acts. The fair distinction is between what the recording establishes directly and what other evidence would be needed to establish a specific incident.</w:t>
      </w:r>
    </w:p>
    <w:p>
      <w:r>
        <w:t xml:space="preserve">Published accounts have identified more than two dozen women who accused Trump of some form of sexual misconduct. The allegations are not a uniform set. They concern different dates, settings, conduct, witnesses, and legal histories. Some involve unwanted kissing or groping; others involve more serious accusations. Trump has broadly denied the accusations and characterized them as false or politically motivated. The numerical total is a description of published allegations, not a count of court findings. </w:t>
      </w:r>
      <w:r>
        <w:rPr>
          <w:sz w:val="20"/>
        </w:rPr>
        <w:t>[</w:t>
      </w:r>
      <w:hyperlink w:anchor="note_4_3">
        <w:r>
          <w:rPr>
            <w:color w:val="214F70"/>
            <w:sz w:val="20"/>
          </w:rPr>
          <w:t xml:space="preserve">4.3</w:t>
        </w:r>
      </w:hyperlink>
      <w:r>
        <w:rPr>
          <w:sz w:val="20"/>
        </w:rPr>
        <w:t>]</w:t>
      </w:r>
    </w:p>
    <w:p>
      <w:r>
        <w:t xml:space="preserve">Jessica Leeds and Natasha Stoynoff were among women whose allegations later became testimony in E. Jean Carroll's civil trial. Their appearance before the jury made their accounts sworn evidence subject to the rules of that proceeding. It did not produce separate verdicts resolving their own allegations. Evidence admitted in one case can assist a jury's assessment of that case without becoming a judgment for every witness who testifies. Trump's lawyers challenged the admission and significance of such evidence, including the Access Hollywood recording. </w:t>
      </w:r>
      <w:r>
        <w:rPr>
          <w:sz w:val="20"/>
        </w:rPr>
        <w:t>[</w:t>
      </w:r>
      <w:hyperlink w:anchor="note_4_4">
        <w:r>
          <w:rPr>
            <w:color w:val="214F70"/>
            <w:sz w:val="20"/>
          </w:rPr>
          <w:t xml:space="preserve">4.4</w:t>
        </w:r>
      </w:hyperlink>
      <w:r>
        <w:rPr>
          <w:sz w:val="20"/>
        </w:rPr>
        <w:t>]</w:t>
      </w:r>
    </w:p>
    <w:p>
      <w:r>
        <w:t xml:space="preserve">Other litigation ended without a trial on the underlying encounter. Summer Zervos, a former Apprentice contestant, filed a defamation action after Trump denied her account of unwanted sexual contact. She discontinued the suit in 2021. That disposition did not establish her allegation as true, and it did not establish that it had been fabricated. A withdrawn suit tells the reader that a judicial determination was not obtained. Reasons offered by the parties should be attributed to them, rather than converted into an undisclosed settlement or an acquittal. </w:t>
      </w:r>
      <w:r>
        <w:rPr>
          <w:sz w:val="20"/>
        </w:rPr>
        <w:t>[</w:t>
      </w:r>
      <w:hyperlink w:anchor="note_4_5">
        <w:r>
          <w:rPr>
            <w:color w:val="214F70"/>
            <w:sz w:val="20"/>
          </w:rPr>
          <w:t xml:space="preserve">4.5</w:t>
        </w:r>
      </w:hyperlink>
      <w:r>
        <w:rPr>
          <w:sz w:val="20"/>
        </w:rPr>
        <w:t>]</w:t>
      </w:r>
    </w:p>
    <w:p>
      <w:r>
        <w:t xml:space="preserve">Carroll's cases developed differently. A writer and advice columnist, she publicly accused Trump in 2019 of assaulting her in a department-store dressing room in the 1990s. Trump denied her account. His responses became the subject of a defamation action. A later New York statute, the Adult Survivors Act, temporarily reopened the opportunity to bring certain civil claims concerning sexual abuse that otherwise faced time limitations. Carroll used that window to bring a battery claim, combined with a claim over another Trump statement in 2022. </w:t>
      </w:r>
      <w:r>
        <w:rPr>
          <w:sz w:val="20"/>
        </w:rPr>
        <w:t>[</w:t>
      </w:r>
      <w:hyperlink w:anchor="note_4_6">
        <w:r>
          <w:rPr>
            <w:color w:val="214F70"/>
            <w:sz w:val="20"/>
          </w:rPr>
          <w:t xml:space="preserve">4.6</w:t>
        </w:r>
      </w:hyperlink>
      <w:r>
        <w:rPr>
          <w:sz w:val="20"/>
        </w:rPr>
        <w:t>]</w:t>
      </w:r>
    </w:p>
    <w:p>
      <w:r>
        <w:t>The distinction between the cases is important. The action that reached trial in spring 2023 concerned the alleged assault and the 2022 statement. A separate January 2024 trial concerned damages for defamatory statements made in 2019, while Trump was president. The later trial did not start the entire factual inquiry over again. Prior rulings determined issues that shaped what remained for the second jury to decide. Calling the proceedings two rape convictions would be wrong in several respects: they were civil cases, the judgments concerned different claims, and neither was a criminal conviction.</w:t>
      </w:r>
    </w:p>
    <w:p>
      <w:r>
        <w:t xml:space="preserve">On May 9, 2023, the first jury found Trump liable for sexual abuse and defamation and awarded Carroll $5 million. The verdict form did not find that she had proved rape under the particular New York definition presented to that jury. The civil burden was proof by a preponderance of the evidence, not the criminal standard of proof beyond a reasonable doubt. The resulting finding was nevertheless a judicial determination of civil liability after a trial, not merely an unresolved accusation. </w:t>
      </w:r>
      <w:r>
        <w:rPr>
          <w:sz w:val="20"/>
        </w:rPr>
        <w:t>[</w:t>
      </w:r>
      <w:hyperlink w:anchor="note_4_7">
        <w:r>
          <w:rPr>
            <w:color w:val="214F70"/>
            <w:sz w:val="20"/>
          </w:rPr>
          <w:t xml:space="preserve">4.7</w:t>
        </w:r>
      </w:hyperlink>
      <w:r>
        <w:rPr>
          <w:sz w:val="20"/>
        </w:rPr>
        <w:t>]</w:t>
      </w:r>
    </w:p>
    <w:p>
      <w:r>
        <w:t xml:space="preserve">The terminology generated a further dispute. In rejecting Trump's attempt to use the rape answer as a broader vindication, Judge Lewis Kaplan explained that the then-applicable statutory definition was narrower than the ordinary meaning of the word. He concluded that the jury's finding encompassed forced digital penetration and that describing the conduct as rape in ordinary usage was consistent with what the jury had found. The accurate account preserves both the verdict's legal category and the judge's explanation. It neither changes the jury's answer nor presents that answer as a finding that no serious sexual assault occurred. </w:t>
      </w:r>
      <w:r>
        <w:rPr>
          <w:sz w:val="20"/>
        </w:rPr>
        <w:t>[</w:t>
      </w:r>
      <w:hyperlink w:anchor="note_4_8">
        <w:r>
          <w:rPr>
            <w:color w:val="214F70"/>
            <w:sz w:val="20"/>
          </w:rPr>
          <w:t xml:space="preserve">4.8</w:t>
        </w:r>
      </w:hyperlink>
      <w:r>
        <w:rPr>
          <w:sz w:val="20"/>
        </w:rPr>
        <w:t>]</w:t>
      </w:r>
    </w:p>
    <w:p>
      <w:r>
        <w:t xml:space="preserve">Trump maintained that Carroll's account was false and challenged rulings about evidence and trial procedure. On December 30, 2024, the Second Circuit affirmed the $5 million judgment. The appellate process later moved to the Supreme Court. Its docket records denial of review on June 29, 2026, and denial of rehearing on August 17. Refusal to hear a case is not a new Supreme Court trial or an endorsement of every sentence in a lower court's reasoning. It leaves the judgment in place. </w:t>
      </w:r>
      <w:r>
        <w:rPr>
          <w:sz w:val="20"/>
        </w:rPr>
        <w:t>[</w:t>
      </w:r>
      <w:hyperlink w:anchor="note_4_9">
        <w:r>
          <w:rPr>
            <w:color w:val="214F70"/>
            <w:sz w:val="20"/>
          </w:rPr>
          <w:t xml:space="preserve">4.9</w:t>
        </w:r>
      </w:hyperlink>
      <w:r>
        <w:rPr>
          <w:sz w:val="20"/>
        </w:rPr>
        <w:t>]</w:t>
      </w:r>
    </w:p>
    <w:p>
      <w:r>
        <w:t xml:space="preserve">Payment was a separate procedural event. Funds had been deposited as security during the litigation. In July 2026, after the Supreme Court declined review, the district court authorized release, and subsequent reporting based on court records and statements from Carroll's lawyers confirmed that she had received the award with interest. Reports used totals affected by accrued interest and the accounting date; the central point is that the $5 million judgment was paid. As of October 20, 2026, it should not be described simply as an award awaiting an ordinary appeal. </w:t>
      </w:r>
      <w:r>
        <w:rPr>
          <w:sz w:val="20"/>
        </w:rPr>
        <w:t>[</w:t>
      </w:r>
      <w:hyperlink w:anchor="note_4_10">
        <w:r>
          <w:rPr>
            <w:color w:val="214F70"/>
            <w:sz w:val="20"/>
          </w:rPr>
          <w:t xml:space="preserve">4.10</w:t>
        </w:r>
      </w:hyperlink>
      <w:r>
        <w:rPr>
          <w:sz w:val="20"/>
        </w:rPr>
        <w:t>]</w:t>
      </w:r>
    </w:p>
    <w:p>
      <w:r>
        <w:t xml:space="preserve">The January 2024 jury awarded $83.3 million in the separate defamation case concerning the 2019 statements. The award included compensatory and punitive damages. The size of the award reflected findings about harm and conduct in that case; it was not an additional criminal punishment for the physical assault. Trump challenged the amount and other aspects of the judgment. The Second Circuit upheld it in September 2025. </w:t>
      </w:r>
      <w:r>
        <w:rPr>
          <w:sz w:val="20"/>
        </w:rPr>
        <w:t>[</w:t>
      </w:r>
      <w:hyperlink w:anchor="note_4_11">
        <w:r>
          <w:rPr>
            <w:color w:val="214F70"/>
            <w:sz w:val="20"/>
          </w:rPr>
          <w:t xml:space="preserve">4.11</w:t>
        </w:r>
      </w:hyperlink>
      <w:r>
        <w:rPr>
          <w:sz w:val="20"/>
        </w:rPr>
        <w:t>]</w:t>
      </w:r>
    </w:p>
    <w:p>
      <w:r>
        <w:t xml:space="preserve">By October 2026, the two judgments therefore had materially different procedural positions. The smaller award had survived the completed Supreme Court review process and been paid. A petition seeking Supreme Court review of the larger award remained pending. Docket 26-141 records the petition filed in July 2026 and an extension of Carroll's response deadline to October 30. A further procedural order appeared on October 19. The deadline was still in the future at this manuscript's cutoff. </w:t>
      </w:r>
      <w:r>
        <w:rPr>
          <w:sz w:val="20"/>
        </w:rPr>
        <w:t>[</w:t>
      </w:r>
      <w:hyperlink w:anchor="note_4_12">
        <w:r>
          <w:rPr>
            <w:color w:val="214F70"/>
            <w:sz w:val="20"/>
          </w:rPr>
          <w:t xml:space="preserve">4.12</w:t>
        </w:r>
      </w:hyperlink>
      <w:r>
        <w:rPr>
          <w:sz w:val="20"/>
        </w:rPr>
        <w:t>]</w:t>
      </w:r>
    </w:p>
    <w:p>
      <w:r>
        <w:t xml:space="preserve">The larger judgment had been secured during the appeals process. A bond or comparable security protects the ability to collect a judgment while enforcement is stayed. It is not the same thing as payment to the prevailing plaintiff. Nor does a stay vacate the underlying liability. Reporting that Trump had simply paid nearly $90 million would therefore combine a paid judgment with a different award still subject to further review. Reporting that neither award had survived appeal would be equally inaccurate. </w:t>
      </w:r>
      <w:r>
        <w:rPr>
          <w:sz w:val="20"/>
        </w:rPr>
        <w:t>[</w:t>
      </w:r>
      <w:hyperlink w:anchor="note_4_13">
        <w:r>
          <w:rPr>
            <w:color w:val="214F70"/>
            <w:sz w:val="20"/>
          </w:rPr>
          <w:t xml:space="preserve">4.13</w:t>
        </w:r>
      </w:hyperlink>
      <w:r>
        <w:rPr>
          <w:sz w:val="20"/>
        </w:rPr>
        <w:t>]</w:t>
      </w:r>
    </w:p>
    <w:p>
      <w:r>
        <w:t xml:space="preserve">Presidential status complicated the second case because the relevant statements were made while Trump held office. His lawyers and the federal government advanced arguments concerning immunity and substitution of the United States under the Westfall Act. The government's petition is evidence of its legal position, not a ruling accepting that position. The conflict concerned whether and how official employment protections applied to the statements; it did not transform the first jury's civil findings into a criminal proceeding. </w:t>
      </w:r>
      <w:r>
        <w:rPr>
          <w:sz w:val="20"/>
        </w:rPr>
        <w:t>[</w:t>
      </w:r>
      <w:hyperlink w:anchor="note_4_14">
        <w:r>
          <w:rPr>
            <w:color w:val="214F70"/>
            <w:sz w:val="20"/>
          </w:rPr>
          <w:t xml:space="preserve">4.14</w:t>
        </w:r>
      </w:hyperlink>
      <w:r>
        <w:rPr>
          <w:sz w:val="20"/>
        </w:rPr>
        <w:t>]</w:t>
      </w:r>
    </w:p>
    <w:p>
      <w:r>
        <w:t>Stormy Daniels and Karen McDougal occupy another category. Both described consensual relationships or encounters that Trump denied. Payments and arrangements intended to prevent publication became subjects of legal proceedings. The existence and treatment of those arrangements can be established through documents and testimony independently of a judicial finding about every detail of the alleged relationships. A biography that moves directly from a payment to certainty about all underlying conduct would overstate what the payment proves. A biography that ignores the payment because the encounter was denied would omit a documented event.</w:t>
      </w:r>
    </w:p>
    <w:p>
      <w:r>
        <w:t xml:space="preserve">Daniels's account became particularly important because Michael Cohen paid $130,000 shortly before the 2016 election, and reimbursement records later formed the basis of Trump's New York criminal conviction. The criminal case did not charge adultery. It charged falsification of business records under a theory involving concealment of another crime. McDougal's arrangement involved American Media, publisher of the National Enquirer, and a separate campaign-finance record. Their legal histories are examined with the campaign and criminal cases below. </w:t>
      </w:r>
      <w:r>
        <w:rPr>
          <w:sz w:val="20"/>
        </w:rPr>
        <w:t>[</w:t>
      </w:r>
      <w:hyperlink w:anchor="note_4_15">
        <w:r>
          <w:rPr>
            <w:color w:val="214F70"/>
            <w:sz w:val="20"/>
          </w:rPr>
          <w:t xml:space="preserve">4.15</w:t>
        </w:r>
      </w:hyperlink>
      <w:r>
        <w:rPr>
          <w:sz w:val="20"/>
        </w:rPr>
        <w:t>]</w:t>
      </w:r>
    </w:p>
    <w:p>
      <w:r>
        <w:t>These distinctions do not require the reader to suspend all judgment until every possible case has ended. They require the judgment to be attached to what is known. A recorded statement can be evaluated as a recorded statement. A civil finding can be reported as a civil finding. An allegation unsupported by adjudication can be described with the available corroboration, contradiction, and denial. The standard is the same whether the next piece of evidence favors the subject or the accuser.</w:t>
      </w:r>
    </w:p>
    <w:p>
      <w:r>
        <w:t>Trump's response to personal accusations repeatedly involved public counterattack. In the Carroll litigation, that response itself became a source of additional liability. This is a narrower and better-supported observation than a general diagnosis of personality. The documents show that statements made in denial generated distinct legal claims and damages. They also show that Trump continued to contest the accusations and the courts' treatment of them. A reader need not infer his private motives to understand the sequence.</w:t>
      </w:r>
    </w:p>
    <w:p>
      <w:r>
        <w:t>The cumulative record at the cutoff is consequently mixed in legal status, not indeterminate in every respect. The marriages and divorces are established. The Access Hollywood remarks are recorded. Numerous misconduct allegations remained denied and unadjudicated. Carroll obtained civil findings of sexual abuse and defamation; one award was paid after review ended, while the larger judgment faced a pending Supreme Court petition. Keeping those categories intact is the condition for describing the conduct clearly. It is neither a concession to Trump's political opponents nor a protection against adverse facts.</w:t>
      </w:r>
    </w:p>
    <w:p>
      <w:pPr>
        <w:pStyle w:val="ChapterLabel"/>
        <w:pageBreakBefore/>
      </w:pPr>
      <w:r>
        <w:t>Chapter 5</w:t>
      </w:r>
    </w:p>
    <w:p>
      <w:pPr>
        <w:pStyle w:val="Heading1"/>
      </w:pPr>
      <w:r>
        <w:t>Entry into Politics and the 2016 Campaign</w:t>
      </w:r>
    </w:p>
    <w:p>
      <w:r>
        <w:t>Trump did not enter political discussion for the first time in 2015. He had publicly considered a presidential candidacy and associated with different parties before his successful Republican campaign. What changed was the scale and durability of the effort. The celebrity who had commented on national affairs became a candidate seeking the nomination of a major party, with the institutional machinery and electoral obligations that followed.</w:t>
      </w:r>
    </w:p>
    <w:p>
      <w:r>
        <w:t xml:space="preserve">One bridge between the two roles was his promotion of doubts about Barack Obama's birthplace. The claim that Obama had not been born in the United States was false. Hawaii had certified his birth, and the White House released a longer form of the certificate in April 2011. Trump continued to gain attention from questioning the subject and from presenting himself as someone demanding information that established political figures would not seek. The controversy made clear that a disputed factual claim could function as a continuing vehicle for political prominence even after documentary evidence answered it. </w:t>
      </w:r>
      <w:r>
        <w:rPr>
          <w:sz w:val="20"/>
        </w:rPr>
        <w:t>[</w:t>
      </w:r>
      <w:hyperlink w:anchor="note_5_1">
        <w:r>
          <w:rPr>
            <w:color w:val="214F70"/>
            <w:sz w:val="20"/>
          </w:rPr>
          <w:t xml:space="preserve">5.1</w:t>
        </w:r>
      </w:hyperlink>
      <w:r>
        <w:rPr>
          <w:sz w:val="20"/>
        </w:rPr>
        <w:t>]</w:t>
      </w:r>
    </w:p>
    <w:p>
      <w:r>
        <w:t xml:space="preserve">On June 16, 2015, Trump announced his candidacy at Trump Tower. The setting joined the political proposal to the property and television identity already familiar to audiences. His speech described the country as being poorly served by its leaders and offered his business experience as a corrective. It included claims about immigration from Mexico, crime, trade, and national decline that immediately became central to the campaign. The proposed border wall turned a broad argument about immigration into a visible object that could be repeated in speeches and rallies. </w:t>
      </w:r>
      <w:r>
        <w:rPr>
          <w:sz w:val="20"/>
        </w:rPr>
        <w:t>[</w:t>
      </w:r>
      <w:hyperlink w:anchor="note_5_2">
        <w:r>
          <w:rPr>
            <w:color w:val="214F70"/>
            <w:sz w:val="20"/>
          </w:rPr>
          <w:t xml:space="preserve">5.2</w:t>
        </w:r>
      </w:hyperlink>
      <w:r>
        <w:rPr>
          <w:sz w:val="20"/>
        </w:rPr>
        <w:t>]</w:t>
      </w:r>
    </w:p>
    <w:p>
      <w:r>
        <w:t>The campaign's language was direct, frequently improvisational, and often accusatory. Critics heard ethnic generalization, scapegoating, and a willingness to make claims without adequate evidence. Supporters heard a departure from guarded political speech and attention to concerns they believed other candidates had minimized. These reactions do not establish the truth or falsity of an individual statement. They help explain why a style that alienated one audience could strengthen identification in another.</w:t>
      </w:r>
    </w:p>
    <w:p>
      <w:r>
        <w:t>Trade formed a second persistent theme. Trump criticized existing agreements, manufacturing losses, and the terms on which other countries sold goods in the United States. His position challenged parts of the Republican Party's established approach to trade while retaining other familiar Republican positions, including tax reduction and deregulation. The resulting coalition was not organized around a single consistent theory of limited government. It joined support for business with demands that government use tariffs, border enforcement, and bargaining power more aggressively.</w:t>
      </w:r>
    </w:p>
    <w:p>
      <w:r>
        <w:t>The nomination contest rewarded a candidate who could keep attention concentrated on himself. Opponents criticized his qualifications and conduct, but their responses also made him the reference point of the campaign. Television coverage amplified the process. That observation does not prove that coverage alone caused his victory. It identifies an advantage that his prior career had prepared him to use: he was comfortable making conflict itself the occasion for another appearance.</w:t>
      </w:r>
    </w:p>
    <w:p>
      <w:r>
        <w:t>Trump won the nomination and selected Indiana governor Mike Pence as his running mate. The general-election contest against Hillary Clinton brought together different sources of dissatisfaction: economic insecurity, cultural conflict, distrust of institutions, concern about immigration, opposition to Clinton, and ordinary partisan loyalty. No single motive can be assigned to everyone who voted for him. The ballot recorded a choice, not a complete explanation of the voter's reasons.</w:t>
      </w:r>
    </w:p>
    <w:p>
      <w:r>
        <w:t xml:space="preserve">During the campaign, the FBI opened the investigation known as Crossfire Hurricane. Its origins are important because later accounts often compressed several distinct matters into the phrase Russia investigation. The inquiry began in July 2016 after information supplied through a foreign government concerning Trump adviser George Papadopoulos and possible Russian possession of material damaging to Clinton. It did not begin solely because of the collection of reports later known as the Steele dossier. </w:t>
      </w:r>
      <w:r>
        <w:rPr>
          <w:sz w:val="20"/>
        </w:rPr>
        <w:t>[</w:t>
      </w:r>
      <w:hyperlink w:anchor="note_5_3">
        <w:r>
          <w:rPr>
            <w:color w:val="214F70"/>
            <w:sz w:val="20"/>
          </w:rPr>
          <w:t xml:space="preserve">5.3</w:t>
        </w:r>
      </w:hyperlink>
      <w:r>
        <w:rPr>
          <w:sz w:val="20"/>
        </w:rPr>
        <w:t>]</w:t>
      </w:r>
    </w:p>
    <w:p>
      <w:r>
        <w:t xml:space="preserve">The Justice Department inspector general's 2019 review concluded that the information available met the comparatively low threshold for opening the investigation and did not find documentary or testimonial evidence that political bias determined that opening decision. The same review identified serious errors and omissions in applications to conduct surveillance of Carter Page. Those conclusions belong together. The existence of a basis to investigate did not validate every later investigative step. </w:t>
      </w:r>
      <w:r>
        <w:rPr>
          <w:sz w:val="20"/>
        </w:rPr>
        <w:t>[</w:t>
      </w:r>
      <w:hyperlink w:anchor="note_5_3">
        <w:r>
          <w:rPr>
            <w:color w:val="214F70"/>
            <w:sz w:val="20"/>
          </w:rPr>
          <w:t xml:space="preserve">5.3</w:t>
        </w:r>
      </w:hyperlink>
      <w:r>
        <w:rPr>
          <w:sz w:val="20"/>
        </w:rPr>
        <w:t xml:space="preserve">; </w:t>
      </w:r>
      <w:hyperlink w:anchor="note_5_4">
        <w:r>
          <w:rPr>
            <w:color w:val="214F70"/>
            <w:sz w:val="20"/>
          </w:rPr>
          <w:t xml:space="preserve">5.4</w:t>
        </w:r>
      </w:hyperlink>
      <w:r>
        <w:rPr>
          <w:sz w:val="20"/>
        </w:rPr>
        <w:t>]</w:t>
      </w:r>
    </w:p>
    <w:p>
      <w:r>
        <w:t xml:space="preserve">Special counsel John Durham later reached a more critical assessment of the decision to open a full investigation and of the FBI's handling of information. His 2023 report argued that investigators had failed to exercise sufficient rigor and had treated competing campaign-related information unevenly. That criticism is part of the official record. It is not a finding that every Russian action identified by other investigations was fictitious. Durham's inquiry and the earlier inspector general review differed in scope and judgment; their conclusions should be attributed rather than fused into a single undisputed account. </w:t>
      </w:r>
      <w:r>
        <w:rPr>
          <w:sz w:val="20"/>
        </w:rPr>
        <w:t>[</w:t>
      </w:r>
      <w:hyperlink w:anchor="note_5_5">
        <w:r>
          <w:rPr>
            <w:color w:val="214F70"/>
            <w:sz w:val="20"/>
          </w:rPr>
          <w:t xml:space="preserve">5.5</w:t>
        </w:r>
      </w:hyperlink>
      <w:r>
        <w:rPr>
          <w:sz w:val="20"/>
        </w:rPr>
        <w:t>]</w:t>
      </w:r>
    </w:p>
    <w:p>
      <w:r>
        <w:t xml:space="preserve">The Senate Intelligence Committee, under Republican leadership, conducted a separate investigation that documented counterintelligence risks and contacts involving the campaign. Its final volume described vulnerabilities associated with campaign chairman Paul Manafort and his contacts. Republican and Democratic leaders differed in their emphases, but the report did not treat Russian interference as an invention. A counterintelligence assessment asks whether circumstances create a risk of foreign influence; that is different from proving the elements of a criminal conspiracy. </w:t>
      </w:r>
      <w:r>
        <w:rPr>
          <w:sz w:val="20"/>
        </w:rPr>
        <w:t>[</w:t>
      </w:r>
      <w:hyperlink w:anchor="note_5_6">
        <w:r>
          <w:rPr>
            <w:color w:val="214F70"/>
            <w:sz w:val="20"/>
          </w:rPr>
          <w:t xml:space="preserve">5.6</w:t>
        </w:r>
      </w:hyperlink>
      <w:r>
        <w:rPr>
          <w:sz w:val="20"/>
        </w:rPr>
        <w:t>]</w:t>
      </w:r>
    </w:p>
    <w:p>
      <w:r>
        <w:t xml:space="preserve">The campaign was also managing potential disclosures about Trump's private life. American Media acquired the rights to Karen McDougal's account of a relationship with him. The arrangement became an example of buying a story and withholding publication, commonly called catch and kill. The Federal Election Commission later resolved claims involving the company through a conciliation agreement and a $187,500 civil penalty. That action concerned the company's campaign-finance conduct; it was not a criminal conviction of Trump for the alleged relationship. </w:t>
      </w:r>
      <w:r>
        <w:rPr>
          <w:sz w:val="20"/>
        </w:rPr>
        <w:t>[</w:t>
      </w:r>
      <w:hyperlink w:anchor="note_5_7">
        <w:r>
          <w:rPr>
            <w:color w:val="214F70"/>
            <w:sz w:val="20"/>
          </w:rPr>
          <w:t xml:space="preserve">5.7</w:t>
        </w:r>
      </w:hyperlink>
      <w:r>
        <w:rPr>
          <w:sz w:val="20"/>
        </w:rPr>
        <w:t>]</w:t>
      </w:r>
    </w:p>
    <w:p>
      <w:r>
        <w:t xml:space="preserve">After the Access Hollywood recording became public, Michael Cohen arranged a $130,000 payment to Stormy Daniels shortly before election day. Daniels alleged a sexual encounter with Trump, which he denied. Cohen later pleaded guilty to federal offenses, including campaign-finance violations associated with the payments. The transactions, communications, and later reimbursement records supplied evidence beyond the conflicting accounts of the alleged encounter. </w:t>
      </w:r>
      <w:r>
        <w:rPr>
          <w:sz w:val="20"/>
        </w:rPr>
        <w:t>[</w:t>
      </w:r>
      <w:hyperlink w:anchor="note_5_8">
        <w:r>
          <w:rPr>
            <w:color w:val="214F70"/>
            <w:sz w:val="20"/>
          </w:rPr>
          <w:t xml:space="preserve">5.8</w:t>
        </w:r>
      </w:hyperlink>
      <w:r>
        <w:rPr>
          <w:sz w:val="20"/>
        </w:rPr>
        <w:t>]</w:t>
      </w:r>
    </w:p>
    <w:p>
      <w:r>
        <w:t xml:space="preserve">In 2017, Cohen was reimbursed through payments recorded as legal expenses. Those entries would become the subject of the New York prosecution years later. The campaign narrative and the later legal narrative therefore intersected without being identical. In 2016 the practical objective was to prevent publication. In the criminal case, prosecutors had to prove the charged false records and the required intent. A reader should not substitute a general conclusion about campaign morality for the elements of the offense. </w:t>
      </w:r>
      <w:r>
        <w:rPr>
          <w:sz w:val="20"/>
        </w:rPr>
        <w:t>[</w:t>
      </w:r>
      <w:hyperlink w:anchor="note_5_9">
        <w:r>
          <w:rPr>
            <w:color w:val="214F70"/>
            <w:sz w:val="20"/>
          </w:rPr>
          <w:t xml:space="preserve">5.9</w:t>
        </w:r>
      </w:hyperlink>
      <w:r>
        <w:rPr>
          <w:sz w:val="20"/>
        </w:rPr>
        <w:t>]</w:t>
      </w:r>
    </w:p>
    <w:p>
      <w:r>
        <w:t>Clinton's own controversies, including her use of a private email server while secretary of state, also shaped the contest. Trump's campaign made them a continuing focus. The fact that there were controversies on both sides does not provide a reason to assume equal evidentiary strength for every accusation. It does explain why voters were making a comparative political decision in an environment saturated with competing claims about trustworthiness.</w:t>
      </w:r>
    </w:p>
    <w:p>
      <w:r>
        <w:t xml:space="preserve">The election produced a result that is sometimes described imprecisely. Trump won the presidency through the Electoral College while losing the national popular vote. The Federal Election Commission's final compilation recorded 62,984,828 votes for Trump and 65,853,514 for Clinton. The National Archives recorded 304 electoral votes actually cast for Trump and 227 for Clinton, with other votes going to other persons. The familiar 306-to-232 election-night allocation differs from the final electoral ballots because some electors voted for other candidates. </w:t>
      </w:r>
      <w:r>
        <w:rPr>
          <w:sz w:val="20"/>
        </w:rPr>
        <w:t>[</w:t>
      </w:r>
      <w:hyperlink w:anchor="note_5_10">
        <w:r>
          <w:rPr>
            <w:color w:val="214F70"/>
            <w:sz w:val="20"/>
          </w:rPr>
          <w:t xml:space="preserve">5.10</w:t>
        </w:r>
      </w:hyperlink>
      <w:r>
        <w:rPr>
          <w:sz w:val="20"/>
        </w:rPr>
        <w:t xml:space="preserve">; </w:t>
      </w:r>
      <w:hyperlink w:anchor="note_5_11">
        <w:r>
          <w:rPr>
            <w:color w:val="214F70"/>
            <w:sz w:val="20"/>
          </w:rPr>
          <w:t xml:space="preserve">5.11</w:t>
        </w:r>
      </w:hyperlink>
      <w:r>
        <w:rPr>
          <w:sz w:val="20"/>
        </w:rPr>
        <w:t>]</w:t>
      </w:r>
    </w:p>
    <w:p>
      <w:r>
        <w:t>The constitutional mechanism made Trump the winner. The popular-vote result established that he had not won a national plurality of ballots cast for president. Neither fact cancels the other. Nor can the final margins alone establish how much any single intervention, campaign tactic, or news event changed the outcome. Claims of decisive causation require a counterfactual that the election itself does not supply.</w:t>
      </w:r>
    </w:p>
    <w:p>
      <w:r>
        <w:t>The transition brought the television and business persona into contact with the presidency's legal structure. A president cannot dismiss Congress, bankruptcy-restructure a constitutional obligation, or treat a court's jurisdiction as a negotiation among investors. At the same time, presidential politics rewards communication, coalition maintenance, and public bargaining. Trump's prior experience was relevant to some parts of the job and incomplete for others. The first term would provide a record with which to assess those differences.</w:t>
      </w:r>
    </w:p>
    <w:p>
      <w:r>
        <w:t>The campaign left several unresolved threads. Russia-related investigations continued; Cohen's payments and reimbursements would become criminal evidence; Trump University litigation ended in a settlement; and the public debate over personal conduct persisted. Victory did not adjudicate those matters. It gave Trump the authority of an elected office while leaving the other institutions to perform their own functions.</w:t>
      </w:r>
    </w:p>
    <w:p>
      <w:pPr>
        <w:pStyle w:val="ChapterLabel"/>
        <w:pageBreakBefore/>
      </w:pPr>
      <w:r>
        <w:t>Chapter 6</w:t>
      </w:r>
    </w:p>
    <w:p>
      <w:pPr>
        <w:pStyle w:val="Heading1"/>
      </w:pPr>
      <w:r>
        <w:t>First Presidency: Policy Record and Investigations</w:t>
      </w:r>
    </w:p>
    <w:p>
      <w:r>
        <w:t>Trump took office on January 20, 2017, with Republican majorities in both houses of Congress. He inherited an economy that had been expanding for years after the financial crisis, a federal government with extensive commitments abroad, and a political system already divided over immigration, health care, trade, and the legitimacy of public institutions. The first term produced consequential policy changes. It also demonstrated how easily an assessment can change when the observer selects a different starting date or excludes an inconvenient part of the period.</w:t>
      </w:r>
    </w:p>
    <w:p>
      <w:r>
        <w:t xml:space="preserve">The first months brought an attempt to restrict entry from several predominantly Muslim countries, litigation over successive versions of the policy, withdrawal from the proposed Trans-Pacific Partnership, and efforts to reverse Obama-era regulation. The travel restrictions prompted both security arguments from the administration and claims of religious discrimination from opponents. In 2018 the Supreme Court upheld the later proclamation in Trump v. Hawaii. That decision concerned the policy before the Court and the legal standard it applied; it was not a general approval of every statement Trump had made about Muslims. </w:t>
      </w:r>
      <w:r>
        <w:rPr>
          <w:sz w:val="20"/>
        </w:rPr>
        <w:t>[</w:t>
      </w:r>
      <w:hyperlink w:anchor="note_6_1">
        <w:r>
          <w:rPr>
            <w:color w:val="214F70"/>
            <w:sz w:val="20"/>
          </w:rPr>
          <w:t xml:space="preserve">6.1</w:t>
        </w:r>
      </w:hyperlink>
      <w:r>
        <w:rPr>
          <w:sz w:val="20"/>
        </w:rPr>
        <w:t>]</w:t>
      </w:r>
    </w:p>
    <w:p>
      <w:r>
        <w:t xml:space="preserve">The administration also sought repeal of the Affordable Care Act. That effort failed in Congress in 2017. The failure belongs in the policy record alongside legislation that passed. Trump could influence Republican priorities but could not always secure the votes needed to enact them. The individual mandate's financial penalty was later reduced to zero through tax legislation, while the broader health-insurance structure remained. </w:t>
      </w:r>
      <w:r>
        <w:rPr>
          <w:sz w:val="20"/>
        </w:rPr>
        <w:t>[</w:t>
      </w:r>
      <w:hyperlink w:anchor="note_6_2">
        <w:r>
          <w:rPr>
            <w:color w:val="214F70"/>
            <w:sz w:val="20"/>
          </w:rPr>
          <w:t xml:space="preserve">6.2</w:t>
        </w:r>
      </w:hyperlink>
      <w:r>
        <w:rPr>
          <w:sz w:val="20"/>
        </w:rPr>
        <w:t>]</w:t>
      </w:r>
    </w:p>
    <w:p>
      <w:r>
        <w:t xml:space="preserve">Tax legislation became the largest early legislative achievement. The Tax Cuts and Jobs Act, enacted in December 2017, lowered the statutory corporate income-tax rate from 35 percent to 21 percent, changed taxation of international business income, and reduced many individual income-tax liabilities while altering deductions and exemptions. Many individual provisions were scheduled to expire, unlike the central corporate-rate change. The law benefited different households and businesses by different amounts; a single average could conceal substantial variation. </w:t>
      </w:r>
      <w:r>
        <w:rPr>
          <w:sz w:val="20"/>
        </w:rPr>
        <w:t>[</w:t>
      </w:r>
      <w:hyperlink w:anchor="note_6_3">
        <w:r>
          <w:rPr>
            <w:color w:val="214F70"/>
            <w:sz w:val="20"/>
          </w:rPr>
          <w:t xml:space="preserve">6.3</w:t>
        </w:r>
      </w:hyperlink>
      <w:r>
        <w:rPr>
          <w:sz w:val="20"/>
        </w:rPr>
        <w:t>]</w:t>
      </w:r>
    </w:p>
    <w:p>
      <w:r>
        <w:t xml:space="preserve">Supporters argued that the changes improved incentives to invest, made the United States more competitive, and allowed workers to retain more income. Critics emphasized distribution toward higher-income households and business owners, as well as the effect on deficits. The Congressional Budget Office expected some increase in output but did not project that the law would finance itself. Its estimates changed with the baseline and the budget window; an April 2018 assessment projected a substantial increase in primary deficits, even before additional debt-service costs. </w:t>
      </w:r>
      <w:r>
        <w:rPr>
          <w:sz w:val="20"/>
        </w:rPr>
        <w:t>[</w:t>
      </w:r>
      <w:hyperlink w:anchor="note_6_4">
        <w:r>
          <w:rPr>
            <w:color w:val="214F70"/>
            <w:sz w:val="20"/>
          </w:rPr>
          <w:t xml:space="preserve">6.4</w:t>
        </w:r>
      </w:hyperlink>
      <w:r>
        <w:rPr>
          <w:sz w:val="20"/>
        </w:rPr>
        <w:t>]</w:t>
      </w:r>
    </w:p>
    <w:p>
      <w:r>
        <w:t>Those estimates were projections, not an observed experiment in which every other influence was held constant. Investment responds to demand, interest rates, uncertainty, technology, and conditions abroad as well as tax rules. The strongest defensible account does not require denying that a tax reduction can affect investment. It requires avoiding the larger claim that every subsequent increase in output was caused by the legislation, or that a rise in total tax receipts proves that the government collected more than it would have collected without the cut.</w:t>
      </w:r>
    </w:p>
    <w:p>
      <w:r>
        <w:t xml:space="preserve">The pre-pandemic labor market was strong by several conventional measures. The Bureau of Labor Statistics reported a 3.5 percent unemployment rate in December 2019. Its contemporaneous release put payroll growth during 2019 at approximately 2.1 million jobs. These were favorable outcomes during Trump's presidency. They also continued an expansion and a decline in unemployment that began before his inauguration. Credit for policy cannot be assigned merely by observing which president was in office when a monthly figure appeared. </w:t>
      </w:r>
      <w:r>
        <w:rPr>
          <w:sz w:val="20"/>
        </w:rPr>
        <w:t>[</w:t>
      </w:r>
      <w:hyperlink w:anchor="note_6_5">
        <w:r>
          <w:rPr>
            <w:color w:val="214F70"/>
            <w:sz w:val="20"/>
          </w:rPr>
          <w:t xml:space="preserve">6.5</w:t>
        </w:r>
      </w:hyperlink>
      <w:r>
        <w:rPr>
          <w:sz w:val="20"/>
        </w:rPr>
        <w:t>]</w:t>
      </w:r>
    </w:p>
    <w:p>
      <w:r>
        <w:t xml:space="preserve">Economic growth remained positive. The Bureau of Economic Analysis's January 2020 release estimated real GDP growth of 2.4 percent in 2017, 2.9 percent in 2018, and 2.3 percent in 2019. These are the historical estimates in that release, not a claim that later revisions left every number unchanged. The sequence showed a stronger 2018 followed by slower growth in 2019. It did not establish the sustained transformation to much higher annual growth that some of Trump's rhetoric suggested. </w:t>
      </w:r>
      <w:r>
        <w:rPr>
          <w:sz w:val="20"/>
        </w:rPr>
        <w:t>[</w:t>
      </w:r>
      <w:hyperlink w:anchor="note_6_6">
        <w:r>
          <w:rPr>
            <w:color w:val="214F70"/>
            <w:sz w:val="20"/>
          </w:rPr>
          <w:t xml:space="preserve">6.6</w:t>
        </w:r>
      </w:hyperlink>
      <w:r>
        <w:rPr>
          <w:sz w:val="20"/>
        </w:rPr>
        <w:t>]</w:t>
      </w:r>
    </w:p>
    <w:p>
      <w:r>
        <w:t xml:space="preserve">Household measures supplied further favorable evidence. The Census Bureau initially reported that real median household income rose 6.8 percent in 2019 and that the official poverty rate fell to 10.5 percent. The agency also warned that pandemic-related disruption to survey collection affected the sample and the interpretation of income estimates. The improvement should be reported with that limitation, not omitted because it is favorable or treated as exact simply because it came from an official source. </w:t>
      </w:r>
      <w:r>
        <w:rPr>
          <w:sz w:val="20"/>
        </w:rPr>
        <w:t>[</w:t>
      </w:r>
      <w:hyperlink w:anchor="note_6_7">
        <w:r>
          <w:rPr>
            <w:color w:val="214F70"/>
            <w:sz w:val="20"/>
          </w:rPr>
          <w:t xml:space="preserve">6.7</w:t>
        </w:r>
      </w:hyperlink>
      <w:r>
        <w:rPr>
          <w:sz w:val="20"/>
        </w:rPr>
        <w:t>]</w:t>
      </w:r>
    </w:p>
    <w:p>
      <w:r>
        <w:t xml:space="preserve">Trump's trade policy departed more sharply from the approach of many previous Republican leaders. Tariffs on steel, aluminum, and goods from China aimed to protect domestic production and change foreign behavior. They also imposed costs on American importers and on businesses using affected inputs. Foreign retaliation created additional pressure on exporters. A tariff is legally collected from the importer; its ultimate economic burden may be divided among importers, consumers, domestic firms, and foreign suppliers. A foreign government's name on a tariff announcement does not establish that its treasury pays the United States. </w:t>
      </w:r>
      <w:r>
        <w:rPr>
          <w:sz w:val="20"/>
        </w:rPr>
        <w:t>[</w:t>
      </w:r>
      <w:hyperlink w:anchor="note_6_8">
        <w:r>
          <w:rPr>
            <w:color w:val="214F70"/>
            <w:sz w:val="20"/>
          </w:rPr>
          <w:t xml:space="preserve">6.8</w:t>
        </w:r>
      </w:hyperlink>
      <w:r>
        <w:rPr>
          <w:sz w:val="20"/>
        </w:rPr>
        <w:t>]</w:t>
      </w:r>
    </w:p>
    <w:p>
      <w:r>
        <w:t xml:space="preserve">The United States International Trade Commission later examined the 2018–2021 period. It found reduced imports and increased production in some directly protected industries, together with price increases and costs to downstream manufacturers. Its study supported neither the claim that tariffs produced no domestic benefit nor the claim that they imposed no domestic cost. It was an industry-focused retrospective, not a complete estimate of every economy-wide consequence. </w:t>
      </w:r>
      <w:r>
        <w:rPr>
          <w:sz w:val="20"/>
        </w:rPr>
        <w:t>[</w:t>
      </w:r>
      <w:hyperlink w:anchor="note_6_8">
        <w:r>
          <w:rPr>
            <w:color w:val="214F70"/>
            <w:sz w:val="20"/>
          </w:rPr>
          <w:t xml:space="preserve">6.8</w:t>
        </w:r>
      </w:hyperlink>
      <w:r>
        <w:rPr>
          <w:sz w:val="20"/>
        </w:rPr>
        <w:t>]</w:t>
      </w:r>
    </w:p>
    <w:p>
      <w:r>
        <w:t xml:space="preserve">Renegotiation of the North American trade relationship produced the United States–Mexico–Canada Agreement, which entered into force on July 1, 2020. The agreement updated rules and replaced NAFTA while preserving a large integrated trading system. The administration could claim a completed negotiation and enacted agreement. Congress, including Democrats who negotiated changes, and the Canadian and Mexican governments also contributed to the final result. Describing it as entirely Trump's work would overlook how the agreement became operative. </w:t>
      </w:r>
      <w:r>
        <w:rPr>
          <w:sz w:val="20"/>
        </w:rPr>
        <w:t>[</w:t>
      </w:r>
      <w:hyperlink w:anchor="note_6_9">
        <w:r>
          <w:rPr>
            <w:color w:val="214F70"/>
            <w:sz w:val="20"/>
          </w:rPr>
          <w:t xml:space="preserve">6.9</w:t>
        </w:r>
      </w:hyperlink>
      <w:r>
        <w:rPr>
          <w:sz w:val="20"/>
        </w:rPr>
        <w:t>]</w:t>
      </w:r>
    </w:p>
    <w:p>
      <w:r>
        <w:t xml:space="preserve">Immigration policy involved a different combination of objectives and measures. The administration expanded enforcement, sought additional border barriers, restricted asylum access, and used pressure on Mexico and other governments to reduce arrivals. Border encounters did not fall steadily through the first term. The large increase in arrivals in fiscal 2019 complicates any account of an uninterrupted deterrence success. Later declines require attention to policy changes, conditions in origin and transit countries, and the pandemic. </w:t>
      </w:r>
      <w:r>
        <w:rPr>
          <w:sz w:val="20"/>
        </w:rPr>
        <w:t>[</w:t>
      </w:r>
      <w:hyperlink w:anchor="note_6_10">
        <w:r>
          <w:rPr>
            <w:color w:val="214F70"/>
            <w:sz w:val="20"/>
          </w:rPr>
          <w:t xml:space="preserve">6.10</w:t>
        </w:r>
      </w:hyperlink>
      <w:r>
        <w:rPr>
          <w:sz w:val="20"/>
        </w:rPr>
        <w:t>]</w:t>
      </w:r>
    </w:p>
    <w:p>
      <w:r>
        <w:t xml:space="preserve">The 2018 zero-tolerance prosecution policy led to large-scale separation of children from parents at the border. Officials defended prosecution of unlawful entry and deterrence; critics emphasized harm to children and the administration's failure to prepare systems for reunification. Government Accountability Office investigations identified failures in tracking and coordination between the agencies responsible for parents and children. Those are documented administrative shortcomings, not merely differences in political preference. </w:t>
      </w:r>
      <w:r>
        <w:rPr>
          <w:sz w:val="20"/>
        </w:rPr>
        <w:t>[</w:t>
      </w:r>
      <w:hyperlink w:anchor="note_6_11">
        <w:r>
          <w:rPr>
            <w:color w:val="214F70"/>
            <w:sz w:val="20"/>
          </w:rPr>
          <w:t xml:space="preserve">6.11</w:t>
        </w:r>
      </w:hyperlink>
      <w:r>
        <w:rPr>
          <w:sz w:val="20"/>
        </w:rPr>
        <w:t>]</w:t>
      </w:r>
    </w:p>
    <w:p>
      <w:r>
        <w:t>The administration eventually changed course under legal and public pressure, but reversing an announcement did not automatically reunite families. The agencies had to identify children, locate parents, and establish connections that their original records had not reliably preserved. The episode illustrates why an outcome cannot be assessed only by the count most closely aligned with an announced goal. Even if a deterrent measure reduces arrivals, its implementation can create independent legal and human costs that remain part of the policy's result.</w:t>
      </w:r>
    </w:p>
    <w:p>
      <w:r>
        <w:t xml:space="preserve">Energy production offered another area of favorable aggregate outcomes. The United States became a net exporter of total energy in 2019. Domestic oil and natural-gas production had risen over a longer period as technology, investment, and market conditions changed. Trump supported fossil-fuel development and reduced or sought to reduce regulatory constraints, but the export transition cannot be attributed wholly to a single term. Nor did net exports mean the country no longer imported energy or was insulated from world prices. </w:t>
      </w:r>
      <w:r>
        <w:rPr>
          <w:sz w:val="20"/>
        </w:rPr>
        <w:t>[</w:t>
      </w:r>
      <w:hyperlink w:anchor="note_6_12">
        <w:r>
          <w:rPr>
            <w:color w:val="214F70"/>
            <w:sz w:val="20"/>
          </w:rPr>
          <w:t xml:space="preserve">6.12</w:t>
        </w:r>
      </w:hyperlink>
      <w:r>
        <w:rPr>
          <w:sz w:val="20"/>
        </w:rPr>
        <w:t>]</w:t>
      </w:r>
    </w:p>
    <w:p>
      <w:r>
        <w:t xml:space="preserve">Environmental policy moved in the opposite direction from the preceding administration's priorities. Trump announced withdrawal from the Paris climate agreement and sought to weaken or replace several emissions rules. Supporters viewed these actions as reducing regulatory burdens and protecting domestic industries. Critics pointed to climate risks and foregone emissions reductions. Assessing those consequences requires comparing rules actually in force and emissions trajectories, rather than counting announcements as completed environmental outcomes. </w:t>
      </w:r>
      <w:r>
        <w:rPr>
          <w:sz w:val="20"/>
        </w:rPr>
        <w:t>[</w:t>
      </w:r>
      <w:hyperlink w:anchor="note_6_13">
        <w:r>
          <w:rPr>
            <w:color w:val="214F70"/>
            <w:sz w:val="20"/>
          </w:rPr>
          <w:t xml:space="preserve">6.13</w:t>
        </w:r>
      </w:hyperlink>
      <w:r>
        <w:rPr>
          <w:sz w:val="20"/>
        </w:rPr>
        <w:t>]</w:t>
      </w:r>
    </w:p>
    <w:p>
      <w:r>
        <w:t xml:space="preserve">While policy developed, the Russia investigation continued. Robert Mueller's report documented Russian interference and examined contacts with the Trump campaign. It did not establish a prosecutable conspiracy between the campaign and the Russian government in the interference effort. That conclusion is consequential and should not be softened into an implication that a conspiracy conviction nearly existed. The investigation did bring charges against other people for other offenses, which cannot be relabeled as conspiracy convictions against Trump. </w:t>
      </w:r>
      <w:r>
        <w:rPr>
          <w:sz w:val="20"/>
        </w:rPr>
        <w:t>[</w:t>
      </w:r>
      <w:hyperlink w:anchor="note_6_14">
        <w:r>
          <w:rPr>
            <w:color w:val="214F70"/>
            <w:sz w:val="20"/>
          </w:rPr>
          <w:t xml:space="preserve">6.14</w:t>
        </w:r>
      </w:hyperlink>
      <w:r>
        <w:rPr>
          <w:sz w:val="20"/>
        </w:rPr>
        <w:t>]</w:t>
      </w:r>
    </w:p>
    <w:p>
      <w:r>
        <w:t xml:space="preserve">The obstruction inquiry had a different result. Mueller did not make a traditional prosecutorial determination about charging the president, citing the Justice Department position against indicting a sitting president and other considerations. The report described episodes raising obstruction issues and did not exonerate Trump. Attorney General William Barr and Deputy Attorney General Rod Rosenstein concluded that the evidence was insufficient to establish an obstruction offense. Their conclusion and Mueller's explanation were distinct official positions. Trump was not prosecuted for obstruction arising from that inquiry. </w:t>
      </w:r>
      <w:r>
        <w:rPr>
          <w:sz w:val="20"/>
        </w:rPr>
        <w:t>[</w:t>
      </w:r>
      <w:hyperlink w:anchor="note_6_15">
        <w:r>
          <w:rPr>
            <w:color w:val="214F70"/>
            <w:sz w:val="20"/>
          </w:rPr>
          <w:t xml:space="preserve">6.15</w:t>
        </w:r>
      </w:hyperlink>
      <w:r>
        <w:rPr>
          <w:sz w:val="20"/>
        </w:rPr>
        <w:t xml:space="preserve">; </w:t>
      </w:r>
      <w:hyperlink w:anchor="note_6_16">
        <w:r>
          <w:rPr>
            <w:color w:val="214F70"/>
            <w:sz w:val="20"/>
          </w:rPr>
          <w:t xml:space="preserve">6.16</w:t>
        </w:r>
      </w:hyperlink>
      <w:r>
        <w:rPr>
          <w:sz w:val="20"/>
        </w:rPr>
        <w:t>]</w:t>
      </w:r>
    </w:p>
    <w:p>
      <w:r>
        <w:t>Trump portrayed the investigation as a politically motivated attack. Evidence of serious surveillance errors and later criticism by Durham strengthened some objections to investigative conduct. Those objections did not erase the documented interference or make every contact harmless. Conversely, documentation of contacts did not permit a writer to supply the criminal conspiracy finding Mueller had not reached. The strongest account preserves the findings in both directions and distinguishes investigative misconduct from the conduct being investigated.</w:t>
      </w:r>
    </w:p>
    <w:p>
      <w:r>
        <w:t xml:space="preserve">The first impeachment arose from a different matter. In a July 25, 2019 telephone conversation with Ukrainian president Volodymyr Zelenskyy, Trump asked for investigations touching on the 2016 election and Joe Biden's family. The White House released a memorandum of the conversation, which was a reconstructed record rather than a verbatim recording. At the same time, American security assistance to Ukraine had been withheld. The resulting inquiry examined whether presidential powers were being used to obtain a political advantage. </w:t>
      </w:r>
      <w:r>
        <w:rPr>
          <w:sz w:val="20"/>
        </w:rPr>
        <w:t>[</w:t>
      </w:r>
      <w:hyperlink w:anchor="note_6_17">
        <w:r>
          <w:rPr>
            <w:color w:val="214F70"/>
            <w:sz w:val="20"/>
          </w:rPr>
          <w:t xml:space="preserve">6.17</w:t>
        </w:r>
      </w:hyperlink>
      <w:r>
        <w:rPr>
          <w:sz w:val="20"/>
        </w:rPr>
        <w:t>]</w:t>
      </w:r>
    </w:p>
    <w:p>
      <w:r>
        <w:t xml:space="preserve">Trump denied an improper exchange and described the call as appropriate. His defenders emphasized that aid was eventually released and that Zelenskyy did not publicly announce the requested investigations. Critics emphasized the request itself, the hold, and testimony concerning the administration's pressure. The GAO separately concluded that withholding the assistance violated the Impoundment Control Act. That administrative-law conclusion was not a criminal conviction of Trump, but it was an official adverse finding concerning the hold. </w:t>
      </w:r>
      <w:r>
        <w:rPr>
          <w:sz w:val="20"/>
        </w:rPr>
        <w:t>[</w:t>
      </w:r>
      <w:hyperlink w:anchor="note_6_18">
        <w:r>
          <w:rPr>
            <w:color w:val="214F70"/>
            <w:sz w:val="20"/>
          </w:rPr>
          <w:t xml:space="preserve">6.18</w:t>
        </w:r>
      </w:hyperlink>
      <w:r>
        <w:rPr>
          <w:sz w:val="20"/>
        </w:rPr>
        <w:t>]</w:t>
      </w:r>
    </w:p>
    <w:p>
      <w:r>
        <w:t xml:space="preserve">The House impeached Trump for abuse of power and obstruction of Congress. On February 5, 2020, the Senate acquitted him. The vote on the first article was 48 guilty and 52 not guilty; on the second, 47 guilty and 53 not guilty. Neither reached the two-thirds threshold. The result was an acquittal in the constitutional impeachment process, not a jury verdict that every allegation was false. The record also includes the defense's substantive and procedural objections, not merely the numerical result. </w:t>
      </w:r>
      <w:r>
        <w:rPr>
          <w:sz w:val="20"/>
        </w:rPr>
        <w:t>[</w:t>
      </w:r>
      <w:hyperlink w:anchor="note_6_19">
        <w:r>
          <w:rPr>
            <w:color w:val="214F70"/>
            <w:sz w:val="20"/>
          </w:rPr>
          <w:t xml:space="preserve">6.19</w:t>
        </w:r>
      </w:hyperlink>
      <w:r>
        <w:rPr>
          <w:sz w:val="20"/>
        </w:rPr>
        <w:t>]</w:t>
      </w:r>
    </w:p>
    <w:p>
      <w:r>
        <w:t xml:space="preserve">The COVID-19 pandemic then transformed the term. A contagious disease, inadequate early testing, disrupted supply chains, and uncertainty about transmission confronted federal and state officials with a rapidly changing emergency. Trump restricted some travel from China, declared an emergency, supported major fiscal relief, and mobilized resources. He also repeatedly offered public reassurance that proved inconsistent with the scale of the threat and promoted claims about treatments or the disease's trajectory that were not adequately established. </w:t>
      </w:r>
      <w:r>
        <w:rPr>
          <w:sz w:val="20"/>
        </w:rPr>
        <w:t>[</w:t>
      </w:r>
      <w:hyperlink w:anchor="note_6_20">
        <w:r>
          <w:rPr>
            <w:color w:val="214F70"/>
            <w:sz w:val="20"/>
          </w:rPr>
          <w:t xml:space="preserve">6.20</w:t>
        </w:r>
      </w:hyperlink>
      <w:r>
        <w:rPr>
          <w:sz w:val="20"/>
        </w:rPr>
        <w:t>]</w:t>
      </w:r>
    </w:p>
    <w:p>
      <w:r>
        <w:t>Responsibility for the American outcome was distributed. Governors made many restrictions and reopening decisions; hospitals and public-health agencies faced practical shortages; people changed behavior; and the virus spread internationally. That distribution does not remove presidential responsibility for federal coordination and public communication. It does make a simple attribution of every death or job loss to one person analytically unsound. The relevant question is which decisions were within the administration's control and what evidence supports their effects.</w:t>
      </w:r>
    </w:p>
    <w:p>
      <w:r>
        <w:t xml:space="preserve">Operation Warp Speed was a substantial federal contribution to accelerating vaccine development, manufacturing, and procurement. The GAO documented how parallel work and public financial support compressed timelines while creating manufacturing and distribution challenges. The FDA issued the first emergency authorization for a COVID-19 vaccine on December 11, 2020. Scientific research, private companies, earlier platform development, and international work were also essential. The outcome deserves credit without converting the president into the sole inventor of the vaccines. </w:t>
      </w:r>
      <w:r>
        <w:rPr>
          <w:sz w:val="20"/>
        </w:rPr>
        <w:t>[</w:t>
      </w:r>
      <w:hyperlink w:anchor="note_6_21">
        <w:r>
          <w:rPr>
            <w:color w:val="214F70"/>
            <w:sz w:val="20"/>
          </w:rPr>
          <w:t xml:space="preserve">6.21</w:t>
        </w:r>
      </w:hyperlink>
      <w:r>
        <w:rPr>
          <w:sz w:val="20"/>
        </w:rPr>
        <w:t xml:space="preserve">; </w:t>
      </w:r>
      <w:hyperlink w:anchor="note_6_22">
        <w:r>
          <w:rPr>
            <w:color w:val="214F70"/>
            <w:sz w:val="20"/>
          </w:rPr>
          <w:t xml:space="preserve">6.22</w:t>
        </w:r>
      </w:hyperlink>
      <w:r>
        <w:rPr>
          <w:sz w:val="20"/>
        </w:rPr>
        <w:t>]</w:t>
      </w:r>
    </w:p>
    <w:p>
      <w:r>
        <w:t xml:space="preserve">The public-health toll remained severe. The CDC's later mortality analysis counted 350,831 deaths in 2020 with COVID-19 as the underlying cause. Other totals can be higher because they include deaths in which the disease was a contributing cause, use a different reporting date, or cover a different interval. A meaningful comparison must state the definition. The number is not made less consequential by the need for that precision. </w:t>
      </w:r>
      <w:r>
        <w:rPr>
          <w:sz w:val="20"/>
        </w:rPr>
        <w:t>[</w:t>
      </w:r>
      <w:hyperlink w:anchor="note_6_23">
        <w:r>
          <w:rPr>
            <w:color w:val="214F70"/>
            <w:sz w:val="20"/>
          </w:rPr>
          <w:t xml:space="preserve">6.23</w:t>
        </w:r>
      </w:hyperlink>
      <w:r>
        <w:rPr>
          <w:sz w:val="20"/>
        </w:rPr>
        <w:t>]</w:t>
      </w:r>
    </w:p>
    <w:p>
      <w:r>
        <w:t xml:space="preserve">The economic collapse also changed the term's balance sheet. Unemployment surged in spring 2020 and remained above its pre-pandemic level at the end of the year. Real output contracted for the year even after a sharp rebound from the initial collapse. An assessment limited to 2017–2019 can accurately describe the pre-COVID economy; it cannot be presented as the complete first-term economic result. Conversely, a term-end comparison alone conceals the unusual external shock and the earlier expansion. </w:t>
      </w:r>
      <w:r>
        <w:rPr>
          <w:sz w:val="20"/>
        </w:rPr>
        <w:t>[</w:t>
      </w:r>
      <w:hyperlink w:anchor="note_6_24">
        <w:r>
          <w:rPr>
            <w:color w:val="214F70"/>
            <w:sz w:val="20"/>
          </w:rPr>
          <w:t xml:space="preserve">6.24</w:t>
        </w:r>
      </w:hyperlink>
      <w:r>
        <w:rPr>
          <w:sz w:val="20"/>
        </w:rPr>
        <w:t>]</w:t>
      </w:r>
    </w:p>
    <w:p>
      <w:r>
        <w:t xml:space="preserve">Foreign policy produced both agreements and unresolved risks. The Abraham Accords established or advanced normalization between Israel and several Arab states, beginning with the United Arab Emirates and Bahrain in September 2020. They were meaningful diplomatic achievements. They did not settle the Israeli-Palestinian conflict, and their participants' separate interests and incentives were part of the negotiations. A normalization agreement should be assessed by the relationships it changed, not credited with ending conflicts outside its scope. </w:t>
      </w:r>
      <w:r>
        <w:rPr>
          <w:sz w:val="20"/>
        </w:rPr>
        <w:t>[</w:t>
      </w:r>
      <w:hyperlink w:anchor="note_6_25">
        <w:r>
          <w:rPr>
            <w:color w:val="214F70"/>
            <w:sz w:val="20"/>
          </w:rPr>
          <w:t xml:space="preserve">6.25</w:t>
        </w:r>
      </w:hyperlink>
      <w:r>
        <w:rPr>
          <w:sz w:val="20"/>
        </w:rPr>
        <w:t>]</w:t>
      </w:r>
    </w:p>
    <w:p>
      <w:r>
        <w:t xml:space="preserve">Other major actions included withdrawal from the Iran nuclear agreement, direct meetings with North Korea's leader without a completed denuclearization settlement, the operation that killed Islamic State leader Abu Bakr al-Baghdadi, and an agreement with the Taliban setting a framework for American withdrawal from Afghanistan. Each combined an identifiable action with consequences that continued beyond the term. The fact that an operation succeeded tactically did not settle the long-term strategic question; the absence of a final settlement did not mean that no diplomacy occurred. </w:t>
      </w:r>
      <w:r>
        <w:rPr>
          <w:sz w:val="20"/>
        </w:rPr>
        <w:t>[</w:t>
      </w:r>
      <w:hyperlink w:anchor="note_6_26">
        <w:r>
          <w:rPr>
            <w:color w:val="214F70"/>
            <w:sz w:val="20"/>
          </w:rPr>
          <w:t xml:space="preserve">6.26</w:t>
        </w:r>
      </w:hyperlink>
      <w:r>
        <w:rPr>
          <w:sz w:val="20"/>
        </w:rPr>
        <w:t>]</w:t>
      </w:r>
    </w:p>
    <w:p>
      <w:r>
        <w:t xml:space="preserve">Domestic institutional changes would also outlast Trump. He appointed three Supreme Court justices and many lower-court judges. The First Step Act, enacted with bipartisan support in 2018, changed federal sentencing and prison policy. These were durable uses of presidential and legislative power. They resist a biography organized only around scandal because they changed law and institutions irrespective of the president's personal controversies. </w:t>
      </w:r>
      <w:r>
        <w:rPr>
          <w:sz w:val="20"/>
        </w:rPr>
        <w:t>[</w:t>
      </w:r>
      <w:hyperlink w:anchor="note_6_27">
        <w:r>
          <w:rPr>
            <w:color w:val="214F70"/>
            <w:sz w:val="20"/>
          </w:rPr>
          <w:t xml:space="preserve">6.27</w:t>
        </w:r>
      </w:hyperlink>
      <w:r>
        <w:rPr>
          <w:sz w:val="20"/>
        </w:rPr>
        <w:t xml:space="preserve">; </w:t>
      </w:r>
      <w:hyperlink w:anchor="note_6_28">
        <w:r>
          <w:rPr>
            <w:color w:val="214F70"/>
            <w:sz w:val="20"/>
          </w:rPr>
          <w:t xml:space="preserve">6.28</w:t>
        </w:r>
      </w:hyperlink>
      <w:r>
        <w:rPr>
          <w:sz w:val="20"/>
        </w:rPr>
        <w:t>]</w:t>
      </w:r>
    </w:p>
    <w:p>
      <w:r>
        <w:t>The first term combined tax and trade changes, conservative judicial appointments, a strong pre-pandemic labor market, accelerated vaccine development, immigration restrictions, administrative failures, and the pandemic's costs. The 2020 election would test whether Trump would accept a result that required him to leave office.</w:t>
      </w:r>
    </w:p>
    <w:p>
      <w:pPr>
        <w:pStyle w:val="ChapterLabel"/>
        <w:pageBreakBefore/>
      </w:pPr>
      <w:r>
        <w:t>Chapter 7</w:t>
      </w:r>
    </w:p>
    <w:p>
      <w:pPr>
        <w:pStyle w:val="Heading1"/>
      </w:pPr>
      <w:r>
        <w:t>2020 Election, January 6, and Second Impeachment</w:t>
      </w:r>
    </w:p>
    <w:p>
      <w:r>
        <w:t xml:space="preserve">Trump lost the 2020 election. Joe Biden won the Electoral College, 306 votes to 232, and a national popular-vote majority. States certified their results, electors voted, and Congress eventually completed the count. The post-election record contains disputes about election rules, isolated irregularities, recounts, rejected allegations, and extensive litigation. It does not contain a substantiated showing of fraud sufficient to reverse the presidential result. That conclusion does not depend on assuming that an election involving millions of people was free of every error. </w:t>
      </w:r>
      <w:r>
        <w:rPr>
          <w:sz w:val="20"/>
        </w:rPr>
        <w:t>[</w:t>
      </w:r>
      <w:hyperlink w:anchor="note_7_1">
        <w:r>
          <w:rPr>
            <w:color w:val="214F70"/>
            <w:sz w:val="20"/>
          </w:rPr>
          <w:t xml:space="preserve">7.1</w:t>
        </w:r>
      </w:hyperlink>
      <w:r>
        <w:rPr>
          <w:sz w:val="20"/>
        </w:rPr>
        <w:t>]</w:t>
      </w:r>
    </w:p>
    <w:p>
      <w:r>
        <w:t>The pandemic changed how many Americans voted. Mail ballots and early voting played a large role, and states followed different rules for processing and counting them. In some places, partisan differences in voting method meant that the apparent leader changed as different categories of ballots were reported. A change in the reported lead was therefore not, by itself, evidence that ballots had been created or switched. The question was whether the counted ballots were lawful and accurately tabulated.</w:t>
      </w:r>
    </w:p>
    <w:p>
      <w:r>
        <w:t>Trump had repeatedly warned that the election could be taken from him through fraud. After voting ended, he and his allies pursued challenges in several states. The lawsuits did not all make the same claim, reach the same procedural stage, or fail for the same reason. Some were dismissed for standing, timing, jurisdiction, or other threshold defects. Others reached questions about evidence or the adequacy of allegations. It is inaccurate to say that every court conducted a full trial and rejected every accusation on the merits. It is also inaccurate to suggest that the litigation produced no substantive assessment of the claims.</w:t>
      </w:r>
    </w:p>
    <w:p>
      <w:r>
        <w:t xml:space="preserve">In Pennsylvania, the Third Circuit rejected an appeal by the Trump campaign in November 2020. Judge Stephanos Bibas, a Trump appointee, wrote for the panel. The court found that the campaign had not supplied the specific allegations and proof needed for its requested relief. The opinion addressed the actual case before it, rather than every claim circulating on television. It is important precisely because it demonstrates the difference between broad public assertions and a claim that can survive judicial scrutiny. </w:t>
      </w:r>
      <w:r>
        <w:rPr>
          <w:sz w:val="20"/>
        </w:rPr>
        <w:t>[</w:t>
      </w:r>
      <w:hyperlink w:anchor="note_7_2">
        <w:r>
          <w:rPr>
            <w:color w:val="214F70"/>
            <w:sz w:val="20"/>
          </w:rPr>
          <w:t xml:space="preserve">7.2</w:t>
        </w:r>
      </w:hyperlink>
      <w:r>
        <w:rPr>
          <w:sz w:val="20"/>
        </w:rPr>
        <w:t>]</w:t>
      </w:r>
    </w:p>
    <w:p>
      <w:r>
        <w:t xml:space="preserve">Texas sought to challenge results in other states directly at the Supreme Court. The Court rejected the effort for lack of standing, finding that Texas had not demonstrated a legally cognizable interest in how another state conducted its election. That was a jurisdictional disposition, not a trial of every factual allegation attached to the filing. It left the challenged states' results in place. A procedural reason for dismissal does not establish that the dismissed allegations were true. </w:t>
      </w:r>
      <w:r>
        <w:rPr>
          <w:sz w:val="20"/>
        </w:rPr>
        <w:t>[</w:t>
      </w:r>
      <w:hyperlink w:anchor="note_7_3">
        <w:r>
          <w:rPr>
            <w:color w:val="214F70"/>
            <w:sz w:val="20"/>
          </w:rPr>
          <w:t xml:space="preserve">7.3</w:t>
        </w:r>
      </w:hyperlink>
      <w:r>
        <w:rPr>
          <w:sz w:val="20"/>
        </w:rPr>
        <w:t>]</w:t>
      </w:r>
    </w:p>
    <w:p>
      <w:r>
        <w:t xml:space="preserve">Georgia's result survived repeated counting and review. The final certified margin was 11,779 votes for Biden. The state's Republican election officials rejected claims that their processes had concealed a Trump victory. Recounts can correct errors and sometimes alter margins; here they did not change the winner. The existence of corrections during review showed why checking was necessary, but it did not justify replacing the certified outcome with the losing candidate's preferred one. </w:t>
      </w:r>
      <w:r>
        <w:rPr>
          <w:sz w:val="20"/>
        </w:rPr>
        <w:t>[</w:t>
      </w:r>
      <w:hyperlink w:anchor="note_7_4">
        <w:r>
          <w:rPr>
            <w:color w:val="214F70"/>
            <w:sz w:val="20"/>
          </w:rPr>
          <w:t xml:space="preserve">7.4</w:t>
        </w:r>
      </w:hyperlink>
      <w:r>
        <w:rPr>
          <w:sz w:val="20"/>
        </w:rPr>
        <w:t>]</w:t>
      </w:r>
    </w:p>
    <w:p>
      <w:r>
        <w:t xml:space="preserve">On January 2, 2021, Trump spoke with Georgia secretary of state Brad Raffensperger. The recorded call included his request to find the number of votes needed to overcome Biden's margin. Trump and his defenders characterized the conversation as an effort to investigate a result they believed wrong. Prosecutors later treated it as part of a broader alleged effort to change the lawful outcome. The recording establishes the words and context available on the call; the criminal interpretation required elements that would have to be proved in court. </w:t>
      </w:r>
      <w:r>
        <w:rPr>
          <w:sz w:val="20"/>
        </w:rPr>
        <w:t>[</w:t>
      </w:r>
      <w:hyperlink w:anchor="note_7_5">
        <w:r>
          <w:rPr>
            <w:color w:val="214F70"/>
            <w:sz w:val="20"/>
          </w:rPr>
          <w:t xml:space="preserve">7.5</w:t>
        </w:r>
      </w:hyperlink>
      <w:r>
        <w:rPr>
          <w:sz w:val="20"/>
        </w:rPr>
        <w:t>]</w:t>
      </w:r>
    </w:p>
    <w:p>
      <w:r>
        <w:t xml:space="preserve">Pressure also reached the Justice Department. The January 6 committee gathered testimony and records concerning efforts to obtain departmental support for claims of election irregularity. Senior officials resisted proposed actions they regarded as unsupported. The committee's account was a congressional investigative finding, not a criminal verdict. Its evidentiary value rests in the testimony, documents, and corroboration it collected, which should be distinguished from the committee members' conclusions about what prosecutors ought to do. </w:t>
      </w:r>
      <w:r>
        <w:rPr>
          <w:sz w:val="20"/>
        </w:rPr>
        <w:t>[</w:t>
      </w:r>
      <w:hyperlink w:anchor="note_7_6">
        <w:r>
          <w:rPr>
            <w:color w:val="214F70"/>
            <w:sz w:val="20"/>
          </w:rPr>
          <w:t xml:space="preserve">7.6</w:t>
        </w:r>
      </w:hyperlink>
      <w:r>
        <w:rPr>
          <w:sz w:val="20"/>
        </w:rPr>
        <w:t>]</w:t>
      </w:r>
    </w:p>
    <w:p>
      <w:r>
        <w:t xml:space="preserve">Another effort concerned alternate slates of electors. Documents were prepared in several states purporting to cast electoral votes for Trump despite certified Biden victories. The particulars varied, including language in some documents tying their use to a favorable legal outcome. Those differences matter in evaluating individual responsibility. They do not make the entire effort identical to the ordinary certification of electors chosen under state law. </w:t>
      </w:r>
      <w:r>
        <w:rPr>
          <w:sz w:val="20"/>
        </w:rPr>
        <w:t>[</w:t>
      </w:r>
      <w:hyperlink w:anchor="note_7_7">
        <w:r>
          <w:rPr>
            <w:color w:val="214F70"/>
            <w:sz w:val="20"/>
          </w:rPr>
          <w:t xml:space="preserve">7.7</w:t>
        </w:r>
      </w:hyperlink>
      <w:r>
        <w:rPr>
          <w:sz w:val="20"/>
        </w:rPr>
        <w:t>]</w:t>
      </w:r>
    </w:p>
    <w:p>
      <w:r>
        <w:t xml:space="preserve">Vice President Pence became a focal point because he would preside over the congressional count. Trump urged him to reject or delay electoral votes. Pence concluded that he lacked unilateral authority to determine which votes should count. The dispute exposed a fundamental difference between presiding over a constitutional procedure and possessing power to choose its result. The losing ticket's vice president could not simply substitute his judgment for certified state outcomes. </w:t>
      </w:r>
      <w:r>
        <w:rPr>
          <w:sz w:val="20"/>
        </w:rPr>
        <w:t>[</w:t>
      </w:r>
      <w:hyperlink w:anchor="note_7_8">
        <w:r>
          <w:rPr>
            <w:color w:val="214F70"/>
            <w:sz w:val="20"/>
          </w:rPr>
          <w:t xml:space="preserve">7.8</w:t>
        </w:r>
      </w:hyperlink>
      <w:r>
        <w:rPr>
          <w:sz w:val="20"/>
        </w:rPr>
        <w:t>]</w:t>
      </w:r>
    </w:p>
    <w:p>
      <w:r>
        <w:t xml:space="preserve">On January 6, Trump addressed supporters near the White House while Congress prepared to count the electoral votes. The speech repeated claims that the election had been taken from him and urged the crowd toward the Capitol. It included both the phrase “peacefully and patriotically” and the instruction to “fight like hell.” A fair account includes both. Neither excerpt alone reproduces the full speech, the preceding weeks of claims, or the actions that followed. </w:t>
      </w:r>
      <w:r>
        <w:rPr>
          <w:sz w:val="20"/>
        </w:rPr>
        <w:t>[</w:t>
      </w:r>
      <w:hyperlink w:anchor="note_7_9">
        <w:r>
          <w:rPr>
            <w:color w:val="214F70"/>
            <w:sz w:val="20"/>
          </w:rPr>
          <w:t xml:space="preserve">7.9</w:t>
        </w:r>
      </w:hyperlink>
      <w:r>
        <w:rPr>
          <w:sz w:val="20"/>
        </w:rPr>
        <w:t>]</w:t>
      </w:r>
    </w:p>
    <w:p>
      <w:r>
        <w:t>People at the Capitol included peaceful demonstrators as well as people who breached barriers, assaulted officers, forced entry, and sought to interrupt the count. The conduct of those who remained peaceful does not describe those who used violence. The violence of some does not make every person who attended a rally guilty of the same offense. Criminal cases later distinguished defendants by acts, evidence, and statutory charges.</w:t>
      </w:r>
    </w:p>
    <w:p>
      <w:r>
        <w:t xml:space="preserve">The attack forced lawmakers and the vice president to evacuate or shelter and interrupted the constitutional proceeding. Video, police records, contemporaneous communications, and testimony establish the breach and the assaults. The House committee later reconstructed Trump's conduct during the interruption, including public statements and the interval before a video message telling the crowd to leave. Its findings concerning his failure to act promptly are supported and contested through that record, rather than through an assumption that he personally directed every action at the Capitol. </w:t>
      </w:r>
      <w:r>
        <w:rPr>
          <w:sz w:val="20"/>
        </w:rPr>
        <w:t>[</w:t>
      </w:r>
      <w:hyperlink w:anchor="note_7_10">
        <w:r>
          <w:rPr>
            <w:color w:val="214F70"/>
            <w:sz w:val="20"/>
          </w:rPr>
          <w:t xml:space="preserve">7.10</w:t>
        </w:r>
      </w:hyperlink>
      <w:r>
        <w:rPr>
          <w:sz w:val="20"/>
        </w:rPr>
        <w:t>]</w:t>
      </w:r>
    </w:p>
    <w:p>
      <w:r>
        <w:t xml:space="preserve">At 2:24 p.m., while the attack was under way, Trump publicly criticized Pence for not doing what Trump wanted. Later, he called for peace and ultimately issued a video urging people to go home while continuing to describe the election as stolen. The timing matters. A statement urging departure after the building had been breached is relevant evidence, but it is not equivalent to a timely effort to prevent the breach. Likewise, the presence of an eventual instruction to leave must not be omitted from an account of what he said. </w:t>
      </w:r>
      <w:r>
        <w:rPr>
          <w:sz w:val="20"/>
        </w:rPr>
        <w:t>[</w:t>
      </w:r>
      <w:hyperlink w:anchor="note_7_11">
        <w:r>
          <w:rPr>
            <w:color w:val="214F70"/>
            <w:sz w:val="20"/>
          </w:rPr>
          <w:t xml:space="preserve">7.11</w:t>
        </w:r>
      </w:hyperlink>
      <w:r>
        <w:rPr>
          <w:sz w:val="20"/>
        </w:rPr>
        <w:t>]</w:t>
      </w:r>
    </w:p>
    <w:p>
      <w:r>
        <w:t xml:space="preserve">The events also exposed failures in security planning and response. Those failures required investigation independently of Trump's conduct. A prepared security system might have limited the attack; that does not make the attackers' actions lawful. Evidence of institutional failures does not, by itself, show that an attack was secretly arranged by the institutions that failed to stop it. The Senate's bipartisan security review identified operational and intelligence problems without converting them into a justification for the violence. </w:t>
      </w:r>
      <w:r>
        <w:rPr>
          <w:sz w:val="20"/>
        </w:rPr>
        <w:t>[</w:t>
      </w:r>
      <w:hyperlink w:anchor="note_7_12">
        <w:r>
          <w:rPr>
            <w:color w:val="214F70"/>
            <w:sz w:val="20"/>
          </w:rPr>
          <w:t xml:space="preserve">7.12</w:t>
        </w:r>
      </w:hyperlink>
      <w:r>
        <w:rPr>
          <w:sz w:val="20"/>
        </w:rPr>
        <w:t>]</w:t>
      </w:r>
    </w:p>
    <w:p>
      <w:r>
        <w:t>Congress resumed work and completed the electoral count early on January 7. The interruption had delayed the transfer procedure without changing the result. Biden was inaugurated on January 20. Trump's departure from office did not end the dispute over responsibility, because impeachment, criminal investigation, congressional inquiry, and public evaluation operated on different schedules and under different standards.</w:t>
      </w:r>
    </w:p>
    <w:p>
      <w:r>
        <w:t xml:space="preserve">On January 13, the House impeached Trump for incitement of insurrection. The article addressed his conduct in the period leading to the attack as well as January 6 itself. His defense argued that the Senate lacked authority to try a former president after he left office, that the speech was protected political expression, and that the proceedings did not establish the required responsibility for other people's actions. The managers argued that the speech and conduct had to be read as a cumulative effort to prevent the lawful transfer of power. </w:t>
      </w:r>
      <w:r>
        <w:rPr>
          <w:sz w:val="20"/>
        </w:rPr>
        <w:t>[</w:t>
      </w:r>
      <w:hyperlink w:anchor="note_7_13">
        <w:r>
          <w:rPr>
            <w:color w:val="214F70"/>
            <w:sz w:val="20"/>
          </w:rPr>
          <w:t xml:space="preserve">7.13</w:t>
        </w:r>
      </w:hyperlink>
      <w:r>
        <w:rPr>
          <w:sz w:val="20"/>
        </w:rPr>
        <w:t>]</w:t>
      </w:r>
    </w:p>
    <w:p>
      <w:r>
        <w:t xml:space="preserve">The Senate acquitted him on February 13. Fifty-seven senators voted guilty and 43 not guilty, short of the two-thirds required for conviction. Seven Republicans joined the guilty vote. Calling it an acquittal is mandatory; calling it a majority vote of exoneration is inaccurate. Some senators who voted not guilty objected to the Senate's jurisdiction after Trump had left office rather than endorsing his conduct. The recorded result and the stated reasons for votes are separate parts of the historical account. </w:t>
      </w:r>
      <w:r>
        <w:rPr>
          <w:sz w:val="20"/>
        </w:rPr>
        <w:t>[</w:t>
      </w:r>
      <w:hyperlink w:anchor="note_7_14">
        <w:r>
          <w:rPr>
            <w:color w:val="214F70"/>
            <w:sz w:val="20"/>
          </w:rPr>
          <w:t xml:space="preserve">7.14</w:t>
        </w:r>
      </w:hyperlink>
      <w:r>
        <w:rPr>
          <w:sz w:val="20"/>
        </w:rPr>
        <w:t>]</w:t>
      </w:r>
    </w:p>
    <w:p>
      <w:r>
        <w:t>The impeachment did not place Trump in criminal jeopardy or determine the elements of a federal criminal charge. Later prosecutions would address different statutes. The federal election-interference indictment, for example, did not charge the offense of insurrection. A political or constitutional description of January 6 cannot automatically be substituted for the title of a criminal count. The distinction protects accuracy in both directions: it prevents uncharged crimes from being reported as convictions and prevents a narrow charging decision from erasing the underlying events.</w:t>
      </w:r>
    </w:p>
    <w:p>
      <w:r>
        <w:t xml:space="preserve">The House committee's final report in December 2022 assembled a detailed account of the effort to overturn the election. Trump and his allies criticized the committee's composition and methods. Its membership lacked participation by the Republican leadership's preferred nominees after a dispute over appointments, although Republicans Liz Cheney and Adam Kinzinger served. That political context is relevant to evaluating the inquiry. It does not make the testimony of Republican officials, White House personnel, or other witnesses disappear. </w:t>
      </w:r>
      <w:r>
        <w:rPr>
          <w:sz w:val="20"/>
        </w:rPr>
        <w:t>[</w:t>
      </w:r>
      <w:hyperlink w:anchor="note_7_15">
        <w:r>
          <w:rPr>
            <w:color w:val="214F70"/>
            <w:sz w:val="20"/>
          </w:rPr>
          <w:t xml:space="preserve">7.15</w:t>
        </w:r>
      </w:hyperlink>
      <w:r>
        <w:rPr>
          <w:sz w:val="20"/>
        </w:rPr>
        <w:t>]</w:t>
      </w:r>
    </w:p>
    <w:p>
      <w:r>
        <w:t>The result of the election and the events at the Capitol should not be made permanently uncertain merely because political disagreement persisted. The winner was determined through the legally prescribed processes. The attack occurred and interrupted the count. Trump continued to dispute the election and was acquitted in the Senate. Criminal responsibility for particular allegations required separate adjudication, and his own federal case later ended without trial. These propositions can all be true at once.</w:t>
      </w:r>
    </w:p>
    <w:p>
      <w:r>
        <w:t>Trump retained substantial influence in the Republican Party after leaving office. The persistence of that support would ultimately enable another nomination and another election victory. The political recovery did not change the 2020 result retroactively. It demonstrated that voters and institutions could respond to the same documented episode in different ways. The next period of his life would bring that difference into courtrooms, where the question was not whether he remained politically viable but whether particular conduct violated particular laws.</w:t>
      </w:r>
    </w:p>
    <w:p>
      <w:pPr>
        <w:pStyle w:val="ChapterLabel"/>
        <w:pageBreakBefore/>
      </w:pPr>
      <w:r>
        <w:t>Chapter 8</w:t>
      </w:r>
    </w:p>
    <w:p>
      <w:pPr>
        <w:pStyle w:val="Heading1"/>
      </w:pPr>
      <w:r>
        <w:t>Interregnum Legal Cases</w:t>
      </w:r>
    </w:p>
    <w:p>
      <w:r>
        <w:t>Trump's years out of office became a period of campaigning and litigation. Four criminal cases were brought against him in 2023, in four different jurisdictions, under different statutes. Only one reached a jury verdict against him. Civil litigation involving business valuations and E. Jean Carroll proceeded on separate tracks. The Trump Organization's tax prosecution involved corporate defendants rather than a criminal charge against Trump personally. The name appearing across the cases can obscure these differences unless each proceeding is followed separately.</w:t>
      </w:r>
    </w:p>
    <w:p>
      <w:r>
        <w:t xml:space="preserve">The first personal indictment came in Manhattan. Prosecutors charged Trump with 34 felony counts of falsifying business records in the first degree. The records concerned reimbursements to Michael Cohen after the payment to Stormy Daniels. The prosecution's theory linked the false entries to an effort to conceal unlawful conduct affecting the 2016 election. The case was not a prosecution for having an affair, for signing a nondisclosure agreement as such, or simply for paying money to prevent an embarrassing story from appearing. </w:t>
      </w:r>
      <w:r>
        <w:rPr>
          <w:sz w:val="20"/>
        </w:rPr>
        <w:t>[</w:t>
      </w:r>
      <w:hyperlink w:anchor="note_8_1">
        <w:r>
          <w:rPr>
            <w:color w:val="214F70"/>
            <w:sz w:val="20"/>
          </w:rPr>
          <w:t xml:space="preserve">8.1</w:t>
        </w:r>
      </w:hyperlink>
      <w:r>
        <w:rPr>
          <w:sz w:val="20"/>
        </w:rPr>
        <w:t>]</w:t>
      </w:r>
    </w:p>
    <w:p>
      <w:r>
        <w:t xml:space="preserve">At trial, the prosecution used documents and testimony to connect the transactions, the reimbursement arrangement, and the entries in the company's records. Cohen was an important witness, but the case was not limited to his unsupported word. The defense attacked his credibility, including his prior false statements and personal hostility toward Trump, and disputed the prosecution's account of Trump's knowledge and intent. The jury was required to decide the charged offenses under the criminal burden of proof, beyond a reasonable doubt. </w:t>
      </w:r>
      <w:r>
        <w:rPr>
          <w:sz w:val="20"/>
        </w:rPr>
        <w:t>[</w:t>
      </w:r>
      <w:hyperlink w:anchor="note_8_2">
        <w:r>
          <w:rPr>
            <w:color w:val="214F70"/>
            <w:sz w:val="20"/>
          </w:rPr>
          <w:t xml:space="preserve">8.2</w:t>
        </w:r>
      </w:hyperlink>
      <w:r>
        <w:rPr>
          <w:sz w:val="20"/>
        </w:rPr>
        <w:t>]</w:t>
      </w:r>
    </w:p>
    <w:p>
      <w:r>
        <w:t xml:space="preserve">On May 30, 2024, the jury returned guilty verdicts on all 34 counts. A report of the case must use the word conviction rather than merely allegation from that point forward. It must also retain the existence of appellate challenges. An appeal does not automatically erase a verdict; a verdict does not make the legal questions on appeal unworthy of examination. Both propositions are ordinary features of criminal adjudication. </w:t>
      </w:r>
      <w:r>
        <w:rPr>
          <w:sz w:val="20"/>
        </w:rPr>
        <w:t>[</w:t>
      </w:r>
      <w:hyperlink w:anchor="note_8_1">
        <w:r>
          <w:rPr>
            <w:color w:val="214F70"/>
            <w:sz w:val="20"/>
          </w:rPr>
          <w:t xml:space="preserve">8.1</w:t>
        </w:r>
      </w:hyperlink>
      <w:r>
        <w:rPr>
          <w:sz w:val="20"/>
        </w:rPr>
        <w:t>]</w:t>
      </w:r>
    </w:p>
    <w:p>
      <w:r>
        <w:t xml:space="preserve">Trump challenged the trial judge's impartiality, the treatment of evidence, the legal theory connecting the records to election conduct, and the use of material he argued implicated presidential immunity. These objections were not all identical, and the merits of one do not determine the merits of the others. His defense also emphasized that prosecutors had pursued a complicated state-law theory concerning a federal election. The conviction establishes what the jury decided under the instructions given; appellate courts retain authority to review legal and procedural error. </w:t>
      </w:r>
      <w:r>
        <w:rPr>
          <w:sz w:val="20"/>
        </w:rPr>
        <w:t>[</w:t>
      </w:r>
      <w:hyperlink w:anchor="note_8_3">
        <w:r>
          <w:rPr>
            <w:color w:val="214F70"/>
            <w:sz w:val="20"/>
          </w:rPr>
          <w:t xml:space="preserve">8.3</w:t>
        </w:r>
      </w:hyperlink>
      <w:r>
        <w:rPr>
          <w:sz w:val="20"/>
        </w:rPr>
        <w:t>]</w:t>
      </w:r>
    </w:p>
    <w:p>
      <w:r>
        <w:t xml:space="preserve">Sentencing took place on January 10, 2025, after Trump had won reelection and shortly before he returned to office. Judge Juan Merchan imposed an unconditional discharge. The sentence entailed no imprisonment, probation, or fine. It left the conviction standing. The court's treatment of the coming presidency and the practical burdens of sentencing did not amount to a declaration that the jury had found the wrong person guilty. An unconditional discharge is a sentence, not a dismissal. </w:t>
      </w:r>
      <w:r>
        <w:rPr>
          <w:sz w:val="20"/>
        </w:rPr>
        <w:t>[</w:t>
      </w:r>
      <w:hyperlink w:anchor="note_8_4">
        <w:r>
          <w:rPr>
            <w:color w:val="214F70"/>
            <w:sz w:val="20"/>
          </w:rPr>
          <w:t xml:space="preserve">8.4</w:t>
        </w:r>
      </w:hyperlink>
      <w:r>
        <w:rPr>
          <w:sz w:val="20"/>
        </w:rPr>
        <w:t>]</w:t>
      </w:r>
    </w:p>
    <w:p>
      <w:r>
        <w:t xml:space="preserve">Trump pursued both a direct state appeal and efforts to move the case into federal court. Those are distinct procedural routes. In August 2026, federal Judge Alvin Hellerstein again rejected the removal effort after a remand from the Second Circuit, explaining why the requirements had not been met. That ruling did not decide every issue in the direct state appeal. As of the October 20 cutoff, this source review located no judgment vacating the 34-count conviction; the manuscript therefore reports the conviction and sentence together with continuing challenges. </w:t>
      </w:r>
      <w:r>
        <w:rPr>
          <w:sz w:val="20"/>
        </w:rPr>
        <w:t>[</w:t>
      </w:r>
      <w:hyperlink w:anchor="note_8_5">
        <w:r>
          <w:rPr>
            <w:color w:val="214F70"/>
            <w:sz w:val="20"/>
          </w:rPr>
          <w:t xml:space="preserve">8.5</w:t>
        </w:r>
      </w:hyperlink>
      <w:r>
        <w:rPr>
          <w:sz w:val="20"/>
        </w:rPr>
        <w:t>]</w:t>
      </w:r>
    </w:p>
    <w:p>
      <w:r>
        <w:t xml:space="preserve">The federal classified-documents case followed a different path. A grand jury charged Trump over retention of national-defense information after leaving office and alleged obstruction associated with efforts to recover documents. The indictment described records kept at Mar-a-Lago and conduct involving requests, a subpoena, and movement of boxes. Those were prosecution allegations. Trump denied wrongdoing and disputed the government's legal theories and treatment of presidential records. </w:t>
      </w:r>
      <w:r>
        <w:rPr>
          <w:sz w:val="20"/>
        </w:rPr>
        <w:t>[</w:t>
      </w:r>
      <w:hyperlink w:anchor="note_8_6">
        <w:r>
          <w:rPr>
            <w:color w:val="214F70"/>
            <w:sz w:val="20"/>
          </w:rPr>
          <w:t xml:space="preserve">8.6</w:t>
        </w:r>
      </w:hyperlink>
      <w:r>
        <w:rPr>
          <w:sz w:val="20"/>
        </w:rPr>
        <w:t>]</w:t>
      </w:r>
    </w:p>
    <w:p>
      <w:r>
        <w:t>The nature of the charges is often lost in arguments about whether presidents may possess classified information. The case concerned conduct after his presidency and included alleged obstruction, not merely the discovery that a former official had documents. At the same time, the government's account never became a verdict against Trump. Photographs, witness statements, and an indictment could support a prosecution without eliminating the requirement of a trial or a valid legal basis for the prosecutor's appointment.</w:t>
      </w:r>
    </w:p>
    <w:p>
      <w:r>
        <w:t xml:space="preserve">On July 15, 2024, Judge Aileen Cannon dismissed the indictment on the ground that special counsel Jack Smith's appointment violated constitutional requirements. The timing is essential: dismissal occurred before the November election. The ruling did not find after trial that Trump had lawfully handled every document, and it did not decide all other claims raised in the case. It resolved a threshold question about the prosecutor's authority. </w:t>
      </w:r>
      <w:r>
        <w:rPr>
          <w:sz w:val="20"/>
        </w:rPr>
        <w:t>[</w:t>
      </w:r>
      <w:hyperlink w:anchor="note_8_7">
        <w:r>
          <w:rPr>
            <w:color w:val="214F70"/>
            <w:sz w:val="20"/>
          </w:rPr>
          <w:t xml:space="preserve">8.7</w:t>
        </w:r>
      </w:hyperlink>
      <w:r>
        <w:rPr>
          <w:sz w:val="20"/>
        </w:rPr>
        <w:t>]</w:t>
      </w:r>
    </w:p>
    <w:p>
      <w:r>
        <w:t xml:space="preserve">The Justice Department appealed. Trump's election then changed the department's position concerning continued prosecution of him because of its longstanding view that a sitting president cannot be criminally prosecuted. The appeal as to Trump was abandoned after the election. The remaining appellate proceedings involving codefendants also ended under the new administration. The correct narrative is therefore dismissal in July 2024 followed by termination of the effort to revive the case, not an initial dismissal caused by the election itself. </w:t>
      </w:r>
      <w:r>
        <w:rPr>
          <w:sz w:val="20"/>
        </w:rPr>
        <w:t>[</w:t>
      </w:r>
      <w:hyperlink w:anchor="note_8_8">
        <w:r>
          <w:rPr>
            <w:color w:val="214F70"/>
            <w:sz w:val="20"/>
          </w:rPr>
          <w:t xml:space="preserve">8.8</w:t>
        </w:r>
      </w:hyperlink>
      <w:r>
        <w:rPr>
          <w:sz w:val="20"/>
        </w:rPr>
        <w:t>]</w:t>
      </w:r>
    </w:p>
    <w:p>
      <w:r>
        <w:t xml:space="preserve">The federal election-interference case was filed in Washington in August 2023. It alleged conspiracies and obstruction-related conduct arising from efforts to overturn the 2020 result. The indictment distinguished protected advocacy and challenges from alleged use of false claims and other conduct to obstruct lawful functions. Trump denied criminal wrongdoing and asserted presidential immunity. The court case did not charge him with every offense that political critics used to describe January 6. </w:t>
      </w:r>
      <w:r>
        <w:rPr>
          <w:sz w:val="20"/>
        </w:rPr>
        <w:t>[</w:t>
      </w:r>
      <w:hyperlink w:anchor="note_8_9">
        <w:r>
          <w:rPr>
            <w:color w:val="214F70"/>
            <w:sz w:val="20"/>
          </w:rPr>
          <w:t xml:space="preserve">8.9</w:t>
        </w:r>
      </w:hyperlink>
      <w:r>
        <w:rPr>
          <w:sz w:val="20"/>
        </w:rPr>
        <w:t>]</w:t>
      </w:r>
    </w:p>
    <w:p>
      <w:r>
        <w:t xml:space="preserve">The Supreme Court's July 1, 2024 decision in Trump v. United States materially changed the prosecution. The Court recognized absolute immunity for a former president's conduct within his exclusive constitutional authority and at least presumptive immunity for other official acts, while denying immunity for unofficial acts. It also constrained the use of official-act evidence. The decision required further classification of the conduct at issue rather than simply authorizing the original case to proceed unchanged. </w:t>
      </w:r>
      <w:r>
        <w:rPr>
          <w:sz w:val="20"/>
        </w:rPr>
        <w:t>[</w:t>
      </w:r>
      <w:hyperlink w:anchor="note_8_10">
        <w:r>
          <w:rPr>
            <w:color w:val="214F70"/>
            <w:sz w:val="20"/>
          </w:rPr>
          <w:t xml:space="preserve">8.10</w:t>
        </w:r>
      </w:hyperlink>
      <w:r>
        <w:rPr>
          <w:sz w:val="20"/>
        </w:rPr>
        <w:t>]</w:t>
      </w:r>
    </w:p>
    <w:p>
      <w:r>
        <w:t>Supporters regarded that protection as necessary to prevent successive administrations from prosecuting predecessors for official decisions. Critics argued that the breadth of immunity weakened accountability and made abuse of presidential powers more difficult to prosecute. Both arguments addressed institutional consequences beyond Trump's individual case. The Court's holding was not that all acts by a president are immune, and the dissent's warnings were not themselves the operative rule.</w:t>
      </w:r>
    </w:p>
    <w:p>
      <w:r>
        <w:t xml:space="preserve">After reelection, Smith sought dismissal because the Justice Department's sitting-president policy foreclosed continuation. The Washington case was dismissed without prejudice in November 2024. Smith's final report said that his office believed the evidence would have supported conviction had the case been allowed to proceed. That is a prosecutor's assessment, not a finding by a jury. Trump's denial also remained a party's position. The dismissal left the charged factual and criminal issues untried. </w:t>
      </w:r>
      <w:r>
        <w:rPr>
          <w:sz w:val="20"/>
        </w:rPr>
        <w:t>[</w:t>
      </w:r>
      <w:hyperlink w:anchor="note_8_11">
        <w:r>
          <w:rPr>
            <w:color w:val="214F70"/>
            <w:sz w:val="20"/>
          </w:rPr>
          <w:t xml:space="preserve">8.11</w:t>
        </w:r>
      </w:hyperlink>
      <w:r>
        <w:rPr>
          <w:sz w:val="20"/>
        </w:rPr>
        <w:t>]</w:t>
      </w:r>
    </w:p>
    <w:p>
      <w:r>
        <w:t xml:space="preserve">Georgia's prosecution arose under state law. District attorney Fani Willis brought a broad racketeering case against Trump and others over alleged efforts to change the state's 2020 result. The case included the Raffensperger call, elector-related conduct, and other alleged activity. Some codefendants entered pleas. Those pleas had their own factual bases and did not constitute guilty pleas by Trump. Individual responsibility could not be inferred automatically from membership in the same indictment. </w:t>
      </w:r>
      <w:r>
        <w:rPr>
          <w:sz w:val="20"/>
        </w:rPr>
        <w:t>[</w:t>
      </w:r>
      <w:hyperlink w:anchor="note_8_12">
        <w:r>
          <w:rPr>
            <w:color w:val="214F70"/>
            <w:sz w:val="20"/>
          </w:rPr>
          <w:t xml:space="preserve">8.12</w:t>
        </w:r>
      </w:hyperlink>
      <w:r>
        <w:rPr>
          <w:sz w:val="20"/>
        </w:rPr>
        <w:t>]</w:t>
      </w:r>
    </w:p>
    <w:p>
      <w:r>
        <w:t xml:space="preserve">Proceedings became entangled in a dispute over Willis's relationship with a prosecutor she had hired. The appellate process ultimately disqualified her office. That controversy concerned the integrity and administration of the prosecution; it did not adjudicate the underlying election allegations. After responsibility passed to Peter Skandalakis, he decided not to pursue the remaining case. On November 26, 2025, Judge Scott McAfee dismissed it. </w:t>
      </w:r>
      <w:r>
        <w:rPr>
          <w:sz w:val="20"/>
        </w:rPr>
        <w:t>[</w:t>
      </w:r>
      <w:hyperlink w:anchor="note_8_13">
        <w:r>
          <w:rPr>
            <w:color w:val="214F70"/>
            <w:sz w:val="20"/>
          </w:rPr>
          <w:t xml:space="preserve">8.13</w:t>
        </w:r>
      </w:hyperlink>
      <w:r>
        <w:rPr>
          <w:sz w:val="20"/>
        </w:rPr>
        <w:t>]</w:t>
      </w:r>
    </w:p>
    <w:p>
      <w:r>
        <w:t xml:space="preserve">Skandalakis's filing explained his judgment about the case's practicality and the interests of justice. Trump celebrated the result as vindication and continued to characterize the prosecution as political. The dismissal is a decisive procedural outcome: the case was not awaiting an imminent trial at the cutoff. It is not an acquittal after evidence was presented to a jury. The distinction is equally important when a prosecution ends favorably for a defendant and when one ends in conviction. </w:t>
      </w:r>
      <w:r>
        <w:rPr>
          <w:sz w:val="20"/>
        </w:rPr>
        <w:t>[</w:t>
      </w:r>
      <w:hyperlink w:anchor="note_8_13">
        <w:r>
          <w:rPr>
            <w:color w:val="214F70"/>
            <w:sz w:val="20"/>
          </w:rPr>
          <w:t xml:space="preserve">8.13</w:t>
        </w:r>
      </w:hyperlink>
      <w:r>
        <w:rPr>
          <w:sz w:val="20"/>
        </w:rPr>
        <w:t>]</w:t>
      </w:r>
    </w:p>
    <w:p>
      <w:r>
        <w:t xml:space="preserve">The corporate tax case must be kept separate from all four. In December 2022, a New York jury convicted the Trump Corporation and Trump Payroll Corporation on 17 felony counts arising from a scheme involving unreported compensation and benefits. The companies were sentenced in January 2023 to fines totaling approximately $1.61 million. Trump personally was not a defendant in that trial. It is correct to say that two Trump Organization entities were criminally convicted; it is incorrect to turn that sentence into an additional personal tax conviction. </w:t>
      </w:r>
      <w:r>
        <w:rPr>
          <w:sz w:val="20"/>
        </w:rPr>
        <w:t>[</w:t>
      </w:r>
      <w:hyperlink w:anchor="note_8_14">
        <w:r>
          <w:rPr>
            <w:color w:val="214F70"/>
            <w:sz w:val="20"/>
          </w:rPr>
          <w:t xml:space="preserve">8.14</w:t>
        </w:r>
      </w:hyperlink>
      <w:r>
        <w:rPr>
          <w:sz w:val="20"/>
        </w:rPr>
        <w:t>]</w:t>
      </w:r>
    </w:p>
    <w:p>
      <w:r>
        <w:t xml:space="preserve">Allen Weisselberg, the longtime chief financial officer, pleaded guilty and testified. The record described benefits such as housing, vehicles, and tuition that were not treated properly for tax purposes. Corporate criminal liability depended on the law governing employees' conduct and benefit to the businesses. The verdict did not require a separate conviction of the shareholder. Nor did the absence of a charge against Trump establish that the corporate scheme was harmless or merely a private bookkeeping disagreement. </w:t>
      </w:r>
      <w:r>
        <w:rPr>
          <w:sz w:val="20"/>
        </w:rPr>
        <w:t>[</w:t>
      </w:r>
      <w:hyperlink w:anchor="note_8_15">
        <w:r>
          <w:rPr>
            <w:color w:val="214F70"/>
            <w:sz w:val="20"/>
          </w:rPr>
          <w:t xml:space="preserve">8.15</w:t>
        </w:r>
      </w:hyperlink>
      <w:r>
        <w:rPr>
          <w:sz w:val="20"/>
        </w:rPr>
        <w:t>]</w:t>
      </w:r>
    </w:p>
    <w:p>
      <w:r>
        <w:t xml:space="preserve">The New York attorney general's civil fraud case addressed financial statements and asset valuations. Judge Arthur Engoron found liability under Executive Law section 63(12), initially on a summary-judgment record and later after trial on additional claims. The court examined representations concerning properties, financial condition, and the use of those statements in dealings with lenders and insurers. This was civil enforcement under a statute broader in important respects than a conventional private fraud action. </w:t>
      </w:r>
      <w:r>
        <w:rPr>
          <w:sz w:val="20"/>
        </w:rPr>
        <w:t>[</w:t>
      </w:r>
      <w:hyperlink w:anchor="note_8_16">
        <w:r>
          <w:rPr>
            <w:color w:val="214F70"/>
            <w:sz w:val="20"/>
          </w:rPr>
          <w:t xml:space="preserve">8.16</w:t>
        </w:r>
      </w:hyperlink>
      <w:r>
        <w:rPr>
          <w:sz w:val="20"/>
        </w:rPr>
        <w:t>]</w:t>
      </w:r>
    </w:p>
    <w:p>
      <w:r>
        <w:t xml:space="preserve">Trump and the other defendants argued that valuations were judgments, lenders made their own assessments, loans were repaid, and the transactions had not produced the losses the state implied. Those were substantive arguments, not merely expressions of displeasure. The court nevertheless found that the statements contained actionable misrepresentations. Some disputes concerned valuation assumptions; others concerned more directly verifiable matters, including the size of Trump's apartment. Treating every disputed figure as an equally subjective appraisal would obscure that difference. </w:t>
      </w:r>
      <w:r>
        <w:rPr>
          <w:sz w:val="20"/>
        </w:rPr>
        <w:t>[</w:t>
      </w:r>
      <w:hyperlink w:anchor="note_8_16">
        <w:r>
          <w:rPr>
            <w:color w:val="214F70"/>
            <w:sz w:val="20"/>
          </w:rPr>
          <w:t xml:space="preserve">8.16</w:t>
        </w:r>
      </w:hyperlink>
      <w:r>
        <w:rPr>
          <w:sz w:val="20"/>
        </w:rPr>
        <w:t>]</w:t>
      </w:r>
    </w:p>
    <w:p>
      <w:r>
        <w:t xml:space="preserve">The original judgment imposed a very large monetary award, interest, and business-related restrictions. On August 21, 2025, the Appellate Division issued a deeply divided decision. Its operative disposition vacated the disgorgement awards in their entirety, removed sanctions against defense counsel, and otherwise affirmed the judgment. That wording is more precise than saying that the fine was slightly reduced, and more precise than saying that the entire fraud case was overturned. </w:t>
      </w:r>
      <w:r>
        <w:rPr>
          <w:sz w:val="20"/>
        </w:rPr>
        <w:t>[</w:t>
      </w:r>
      <w:hyperlink w:anchor="note_8_17">
        <w:r>
          <w:rPr>
            <w:color w:val="214F70"/>
            <w:sz w:val="20"/>
          </w:rPr>
          <w:t xml:space="preserve">8.17</w:t>
        </w:r>
      </w:hyperlink>
      <w:r>
        <w:rPr>
          <w:sz w:val="20"/>
        </w:rPr>
        <w:t>]</w:t>
      </w:r>
    </w:p>
    <w:p>
      <w:r>
        <w:t xml:space="preserve">The judges disagreed about liability, procedure, and the monetary remedy. The result preserved adverse findings and forms of oversight while giving Trump a major victory on the financial consequences. The attorney general sought further review, and Trump continued to contest the remaining judgment. The latest merits disposition verified for this manuscript is the August 2025 appellate decision. No later final merits resolution of that review was verified before the cutoff; the account therefore does not label the dispute completely final. </w:t>
      </w:r>
      <w:r>
        <w:rPr>
          <w:sz w:val="20"/>
        </w:rPr>
        <w:t>[</w:t>
      </w:r>
      <w:hyperlink w:anchor="note_8_18">
        <w:r>
          <w:rPr>
            <w:color w:val="214F70"/>
            <w:sz w:val="20"/>
          </w:rPr>
          <w:t xml:space="preserve">8.18</w:t>
        </w:r>
      </w:hyperlink>
      <w:r>
        <w:rPr>
          <w:sz w:val="20"/>
        </w:rPr>
        <w:t>]</w:t>
      </w:r>
    </w:p>
    <w:p>
      <w:r>
        <w:t>The cases also became instruments of political communication. Trump described them collectively as persecution, often treating different prosecutors and plaintiffs as parts of one effort. Opponents sometimes treated the number of proceedings as if it were itself a verdict. Neither method meets the documentary standard. The legitimacy of one charge does not prove the legitimacy of another; the failure of one case does not vacate a judgment in a different jurisdiction.</w:t>
      </w:r>
    </w:p>
    <w:p>
      <w:r>
        <w:t>Claims of selective prosecution deserve examination through evidence about comparable cases, charging standards, conflicts, and procedure. They cannot be resolved solely by identifying a prosecutor's party or a judge's appointing president. Likewise, the existence of an indictment cannot establish guilt by the authority of the charging institution alone. A record-based account must be capable of acknowledging both a criminal conviction and a legally significant victory for the same defendant without treating either as an embarrassment to its thesis.</w:t>
      </w:r>
    </w:p>
    <w:p>
      <w:r>
        <w:t>At the cutoff, the central distinctions were clear. The Manhattan conviction and unconditional discharge remained the verified judgment, with challenges continuing. The two federal criminal prosecutions had ended without trial, through different procedural histories. Georgia's case had been dropped. Two corporate entities had been convicted in the tax case. The civil fraud judgment had lost its monetary disgorgement component on appeal while retaining other adverse elements. The Carroll judgments had the separate statuses described earlier. This was not a single outcome called guilty or cleared. It was a set of records that required separate names.</w:t>
      </w:r>
    </w:p>
    <w:p>
      <w:pPr>
        <w:pStyle w:val="ChapterLabel"/>
        <w:pageBreakBefore/>
      </w:pPr>
      <w:r>
        <w:t>Chapter 9</w:t>
      </w:r>
    </w:p>
    <w:p>
      <w:pPr>
        <w:pStyle w:val="Heading1"/>
      </w:pPr>
      <w:r>
        <w:t>Second Presidency: Early Actions and Outcomes</w:t>
        <w:br/>
        <w:t>(2025–2026)</w:t>
      </w:r>
    </w:p>
    <w:p>
      <w:r>
        <w:t xml:space="preserve">Trump returned to office on January 20, 2025, after defeating Kamala Harris in the 2024 election. The National Archives recorded an Electoral College result of 312 to 226. Unlike 2016, his victory also included a national popular-vote plurality. The result gave him a renewed constitutional mandate to govern; it did not resolve pending litigation or establish that every proposed action would be lawful. The second term began with a president more experienced in the office and determined to exercise greater control over its machinery. </w:t>
      </w:r>
      <w:r>
        <w:rPr>
          <w:sz w:val="20"/>
        </w:rPr>
        <w:t>[</w:t>
      </w:r>
      <w:hyperlink w:anchor="note_9_1">
        <w:r>
          <w:rPr>
            <w:color w:val="214F70"/>
            <w:sz w:val="20"/>
          </w:rPr>
          <w:t xml:space="preserve">9.1</w:t>
        </w:r>
      </w:hyperlink>
      <w:r>
        <w:rPr>
          <w:sz w:val="20"/>
        </w:rPr>
        <w:t>]</w:t>
      </w:r>
    </w:p>
    <w:p>
      <w:r>
        <w:t>This chapter closes on October 20, 2026. All figures are the figures available at that cutoff and remain provisional as a second-term assessment. Official preliminary data, survey estimates, completed historical totals, and forecasts are identified separately. No statement here treats the remainder of 2026 or the outcome of the November midterm elections as already known.</w:t>
      </w:r>
    </w:p>
    <w:p>
      <w:r>
        <w:t xml:space="preserve">One of Trump's first actions was broad clemency for people prosecuted in connection with January 6. The proclamation commuted specified sentences and pardoned other covered offenses, while directing dismissal of pending cases within its scope. The action extended beyond people whose conduct consisted only of peaceful attendance. Trump described the prosecutions as an injustice; critics emphasized convictions for violence and the effect on accountability. Clemency changed legal consequences. It did not make videos of assaults disappear or constitute a trial finding that each recipient had been innocent. </w:t>
      </w:r>
      <w:r>
        <w:rPr>
          <w:sz w:val="20"/>
        </w:rPr>
        <w:t>[</w:t>
      </w:r>
      <w:hyperlink w:anchor="note_9_2">
        <w:r>
          <w:rPr>
            <w:color w:val="214F70"/>
            <w:sz w:val="20"/>
          </w:rPr>
          <w:t xml:space="preserve">9.2</w:t>
        </w:r>
      </w:hyperlink>
      <w:r>
        <w:rPr>
          <w:sz w:val="20"/>
        </w:rPr>
        <w:t>]</w:t>
      </w:r>
    </w:p>
    <w:p>
      <w:r>
        <w:t>Immigration enforcement became an immediate organizing priority. The administration restricted access to asylum and other entry pathways, expanded enforcement efforts, and sought to increase detention and removals. Its public case was that credible enforcement would deter unlawful entry and restore control. The relevant outcome measure, however, depends on the activity being assessed. Apprehensions between ports of entry, all border encounters, releases from Border Patrol custody, removals from the interior, and the total unauthorized population are different quantities.</w:t>
      </w:r>
    </w:p>
    <w:p>
      <w:r>
        <w:t xml:space="preserve">Preliminary fiscal 2026 reporting put southwest-border apprehensions between ports of entry at 98,708. The Department of Homeland Security publicized the figure in October, and contemporaneous reporting independently carried it. This was a very low annual count by recent historical standards and a result favorable to the administration's stated deterrence objective. The department's larger percentage comparisons used selected earlier periods, so the raw annual figure and definition are more useful than an unqualified claim about a percentage reduction from the preceding administration. </w:t>
      </w:r>
      <w:r>
        <w:rPr>
          <w:sz w:val="20"/>
        </w:rPr>
        <w:t>[</w:t>
      </w:r>
      <w:hyperlink w:anchor="note_9_3">
        <w:r>
          <w:rPr>
            <w:color w:val="214F70"/>
            <w:sz w:val="20"/>
          </w:rPr>
          <w:t xml:space="preserve">9.3</w:t>
        </w:r>
      </w:hyperlink>
      <w:r>
        <w:rPr>
          <w:sz w:val="20"/>
        </w:rPr>
        <w:t>]</w:t>
      </w:r>
    </w:p>
    <w:p>
      <w:r>
        <w:t xml:space="preserve">The result does not imply that migration ended or that every form of border activity declined by the same amount. Encounters are events, not necessarily unique people. Enforcement changes can also alter where and how people attempt entry. The fall in arrivals had begun before Trump's second inauguration, after policy changes and enforcement activity in 2024. The scale of the subsequent decline deserves recognition, while causal allocation requires comparison with that earlier trajectory. </w:t>
      </w:r>
      <w:r>
        <w:rPr>
          <w:sz w:val="20"/>
        </w:rPr>
        <w:t>[</w:t>
      </w:r>
      <w:hyperlink w:anchor="note_9_4">
        <w:r>
          <w:rPr>
            <w:color w:val="214F70"/>
            <w:sz w:val="20"/>
          </w:rPr>
          <w:t xml:space="preserve">9.4</w:t>
        </w:r>
      </w:hyperlink>
      <w:r>
        <w:rPr>
          <w:sz w:val="20"/>
        </w:rPr>
        <w:t>]</w:t>
      </w:r>
    </w:p>
    <w:p>
      <w:r>
        <w:t>The administration's claim of effectiveness also has to be evaluated alongside the lawfulness and consequences of implementation. Detention, access to counsel, asylum screening, and removal procedures involve individual legal rights. A low encounter count cannot establish that every removal was correctly executed. Conversely, an unlawful action in an individual case does not prove that a measured decline never occurred. The questions are related, but they require different records.</w:t>
      </w:r>
    </w:p>
    <w:p>
      <w:r>
        <w:t xml:space="preserve">Trump's attempt to narrow birthright citizenship produced a major constitutional dispute. In June 2025, Trump v. CASA limited the availability of universal injunctions without resolving the ultimate citizenship issue. It was therefore wrong to read that initial decision as approval of the executive order's substance. On June 30, 2026, the Court decided Trump v. Barbara and rejected the proposed exclusion of children born in the United States to parents unlawfully or temporarily present. The distinction between a ruling about remedies and a ruling about constitutional entitlement is essential to the chronology. </w:t>
      </w:r>
      <w:r>
        <w:rPr>
          <w:sz w:val="20"/>
        </w:rPr>
        <w:t>[</w:t>
      </w:r>
      <w:hyperlink w:anchor="note_9_5">
        <w:r>
          <w:rPr>
            <w:color w:val="214F70"/>
            <w:sz w:val="20"/>
          </w:rPr>
          <w:t xml:space="preserve">9.5</w:t>
        </w:r>
      </w:hyperlink>
      <w:r>
        <w:rPr>
          <w:sz w:val="20"/>
        </w:rPr>
        <w:t xml:space="preserve">; </w:t>
      </w:r>
      <w:hyperlink w:anchor="note_9_6">
        <w:r>
          <w:rPr>
            <w:color w:val="214F70"/>
            <w:sz w:val="20"/>
          </w:rPr>
          <w:t xml:space="preserve">9.6</w:t>
        </w:r>
      </w:hyperlink>
      <w:r>
        <w:rPr>
          <w:sz w:val="20"/>
        </w:rPr>
        <w:t>]</w:t>
      </w:r>
    </w:p>
    <w:p>
      <w:r>
        <w:t xml:space="preserve">Trade policy generated a parallel dispute over executive power. Trump imposed broad tariffs under the International Emergency Economic Powers Act. In Learning Resources v. Trump, decided February 20, 2026, the Supreme Court held that the statute did not authorize those tariffs. The decision did not invalidate all tariffs imposed under every other law. It required the administration and importers to confront the legal and fiscal consequences of the particular authority that had been used. </w:t>
      </w:r>
      <w:r>
        <w:rPr>
          <w:sz w:val="20"/>
        </w:rPr>
        <w:t>[</w:t>
      </w:r>
      <w:hyperlink w:anchor="note_9_7">
        <w:r>
          <w:rPr>
            <w:color w:val="214F70"/>
            <w:sz w:val="20"/>
          </w:rPr>
          <w:t xml:space="preserve">9.7</w:t>
        </w:r>
      </w:hyperlink>
      <w:r>
        <w:rPr>
          <w:sz w:val="20"/>
        </w:rPr>
        <w:t>]</w:t>
      </w:r>
    </w:p>
    <w:p>
      <w:r>
        <w:t xml:space="preserve">The revenue record consequently needs more than the observation that tariffs increased collections. Customs duties rose sharply in fiscal 2025, reaching approximately $194.9 billion compared with about $77 billion in fiscal 2024. Those are fiscal-year figures, and fiscal 2025 began before Trump's inauguration. They establish a large increase in recorded revenue, not that foreign governments wrote checks covering the tariffs or that the increase had no cost elsewhere in the economy. </w:t>
      </w:r>
      <w:r>
        <w:rPr>
          <w:sz w:val="20"/>
        </w:rPr>
        <w:t>[</w:t>
      </w:r>
      <w:hyperlink w:anchor="note_9_8">
        <w:r>
          <w:rPr>
            <w:color w:val="214F70"/>
            <w:sz w:val="20"/>
          </w:rPr>
          <w:t xml:space="preserve">9.8</w:t>
        </w:r>
      </w:hyperlink>
      <w:r>
        <w:rPr>
          <w:sz w:val="20"/>
        </w:rPr>
        <w:t>]</w:t>
      </w:r>
    </w:p>
    <w:p>
      <w:r>
        <w:t xml:space="preserve">The following fiscal year moved differently. CBO's October 8, 2026 Monthly Budget Review estimated that customs collections fell by about $22 billion, or 11 percent, from the preceding year as refunds began after the Supreme Court's decision. Treasury-based reporting subsequently put fiscal 2026 net customs revenue at approximately $173.2 billion. A claim of continuously rising net tariff revenue through the cutoff would therefore be wrong. Gross collections, refunds, and net receipts must not be substituted for one another. </w:t>
      </w:r>
      <w:r>
        <w:rPr>
          <w:sz w:val="20"/>
        </w:rPr>
        <w:t>[</w:t>
      </w:r>
      <w:hyperlink w:anchor="note_9_9">
        <w:r>
          <w:rPr>
            <w:color w:val="214F70"/>
            <w:sz w:val="20"/>
          </w:rPr>
          <w:t xml:space="preserve">9.9</w:t>
        </w:r>
      </w:hyperlink>
      <w:r>
        <w:rPr>
          <w:sz w:val="20"/>
        </w:rPr>
        <w:t xml:space="preserve">; </w:t>
      </w:r>
      <w:hyperlink w:anchor="note_9_8">
        <w:r>
          <w:rPr>
            <w:color w:val="214F70"/>
            <w:sz w:val="20"/>
          </w:rPr>
          <w:t xml:space="preserve">9.8</w:t>
        </w:r>
      </w:hyperlink>
      <w:r>
        <w:rPr>
          <w:sz w:val="20"/>
        </w:rPr>
        <w:t>]</w:t>
      </w:r>
    </w:p>
    <w:p>
      <w:r>
        <w:t>Even a positive net receipt is not an economy-wide profit calculation. Tariffs can protect some domestic producers, raise costs for other producers and consumers, alter trade flows, and provoke retaliation. The Treasury entry measures one of those channels. The administration's argument that trade leverage could secure better terms requires examination of agreements actually implemented and their consequences, rather than announced investment totals alone. Critics' claims about costs likewise need evidence about prices and behavior, not only theoretical expectations.</w:t>
      </w:r>
    </w:p>
    <w:p>
      <w:r>
        <w:t xml:space="preserve">The September 2026 consumer-price release reported that the all-items CPI rose 0.6 percent in the month on a seasonally adjusted basis and 3.7 percent over twelve months without seasonal adjustment. The measure excluding food and energy rose 2.6 percent over the year. Gasoline prices rose 9.1 percent in the month on a seasonally adjusted basis and 34.2 percent over the year. These are price-index changes, not a national dollar price per gallon. They show renewed household price pressure, especially in fuel. They do not isolate the contribution of tariffs from war, supply, demand, exchange rates, or other influences. </w:t>
      </w:r>
      <w:r>
        <w:rPr>
          <w:sz w:val="20"/>
        </w:rPr>
        <w:t>[</w:t>
      </w:r>
      <w:hyperlink w:anchor="note_9_10">
        <w:r>
          <w:rPr>
            <w:color w:val="214F70"/>
            <w:sz w:val="20"/>
          </w:rPr>
          <w:t xml:space="preserve">9.10</w:t>
        </w:r>
      </w:hyperlink>
      <w:r>
        <w:rPr>
          <w:sz w:val="20"/>
        </w:rPr>
        <w:t>]</w:t>
      </w:r>
    </w:p>
    <w:p>
      <w:r>
        <w:t xml:space="preserve">The labor data were more restrained than a claim of either rapid expansion or universal collapse. BLS's initial September estimate showed a gain of 29,000 payroll jobs and an unemployment rate of 4.2 percent. The release described an average monthly payroll gain of 45,000 over the preceding twelve months and revised earlier months. The household survey and payroll survey measure different things, and both are subject to uncertainty. The figures supported an account of slow job growth with unemployment remaining in a relatively narrow range, not a precise causal verdict on one presidential policy. </w:t>
      </w:r>
      <w:r>
        <w:rPr>
          <w:sz w:val="20"/>
        </w:rPr>
        <w:t>[</w:t>
      </w:r>
      <w:hyperlink w:anchor="note_9_11">
        <w:r>
          <w:rPr>
            <w:color w:val="214F70"/>
            <w:sz w:val="20"/>
          </w:rPr>
          <w:t xml:space="preserve">9.11</w:t>
        </w:r>
      </w:hyperlink>
      <w:r>
        <w:rPr>
          <w:sz w:val="20"/>
        </w:rPr>
        <w:t>]</w:t>
      </w:r>
    </w:p>
    <w:p>
      <w:r>
        <w:t xml:space="preserve">Energy data supplied both favorable and unfavorable evidence. EIA's October outlook projected average United States crude-oil production of 13.9 million barrels per day in 2026, compared with 13.7 million in 2025. It also projected average retail gasoline prices of $3.91 per gallon for 2026, above $3.10 in 2025. Because October arrived before the end of the year, the 2026 numbers were partly forecasts rather than completed annual outcomes. The combination illustrates that high domestic production can coexist with high consumer prices in a global market. </w:t>
      </w:r>
      <w:r>
        <w:rPr>
          <w:sz w:val="20"/>
        </w:rPr>
        <w:t>[</w:t>
      </w:r>
      <w:hyperlink w:anchor="note_9_12">
        <w:r>
          <w:rPr>
            <w:color w:val="214F70"/>
            <w:sz w:val="20"/>
          </w:rPr>
          <w:t xml:space="preserve">9.12</w:t>
        </w:r>
      </w:hyperlink>
      <w:r>
        <w:rPr>
          <w:sz w:val="20"/>
        </w:rPr>
        <w:t>]</w:t>
      </w:r>
    </w:p>
    <w:p>
      <w:r>
        <w:t xml:space="preserve">The administration's principal legislative achievement was the reconciliation law signed on July 4, 2025, Public Law 119-21. It extended major tax provisions, added other tax preferences, funded immigration and security priorities, and changed eligibility and financing rules affecting benefit programs. Public descriptions such as no tax on tips compressed provisions with limits, definitions, and expiration rules. The statutory text, rather than the slogan, determines who qualifies and what taxes remain payable. </w:t>
      </w:r>
      <w:r>
        <w:rPr>
          <w:sz w:val="20"/>
        </w:rPr>
        <w:t>[</w:t>
      </w:r>
      <w:hyperlink w:anchor="note_9_13">
        <w:r>
          <w:rPr>
            <w:color w:val="214F70"/>
            <w:sz w:val="20"/>
          </w:rPr>
          <w:t xml:space="preserve">9.13</w:t>
        </w:r>
      </w:hyperlink>
      <w:r>
        <w:rPr>
          <w:sz w:val="20"/>
        </w:rPr>
        <w:t>]</w:t>
      </w:r>
    </w:p>
    <w:p>
      <w:r>
        <w:t xml:space="preserve">The White House presented the legislation as relief for workers and a foundation for investment and growth. CBO estimated a net increase in deficits of about $3.4 trillion over 2025–2034 relative to its specified baseline, before the additional debt-service effect identified in a separate analysis. The estimate was a projection, not a claim that the entire sum had already been borrowed. Its significance is that the official score did not support the claim that the legislation fully paid for itself under that baseline. </w:t>
      </w:r>
      <w:r>
        <w:rPr>
          <w:sz w:val="20"/>
        </w:rPr>
        <w:t>[</w:t>
      </w:r>
      <w:hyperlink w:anchor="note_9_14">
        <w:r>
          <w:rPr>
            <w:color w:val="214F70"/>
            <w:sz w:val="20"/>
          </w:rPr>
          <w:t xml:space="preserve">9.14</w:t>
        </w:r>
      </w:hyperlink>
      <w:r>
        <w:rPr>
          <w:sz w:val="20"/>
        </w:rPr>
        <w:t>]</w:t>
      </w:r>
    </w:p>
    <w:p>
      <w:r>
        <w:t xml:space="preserve">Changes to the federal workforce were another central project. The administration used deferred resignation offers, agency reorganization, hiring restrictions, and other mechanisms to reduce staffing and redirect government. OPM's fiscal 2025 financial report referred to a reduction of approximately 300,000 employees, or 12.5 percent, in discussing the resulting workload for retirement services. That was an agency-reported estimate in a particular document, not a complete independently reconciled headcount for October 2026. </w:t>
      </w:r>
      <w:r>
        <w:rPr>
          <w:sz w:val="20"/>
        </w:rPr>
        <w:t>[</w:t>
      </w:r>
      <w:hyperlink w:anchor="note_9_15">
        <w:r>
          <w:rPr>
            <w:color w:val="214F70"/>
            <w:sz w:val="20"/>
          </w:rPr>
          <w:t xml:space="preserve">9.15</w:t>
        </w:r>
      </w:hyperlink>
      <w:r>
        <w:rPr>
          <w:sz w:val="20"/>
        </w:rPr>
        <w:t>]</w:t>
      </w:r>
    </w:p>
    <w:p>
      <w:r>
        <w:t>Supporters regarded a smaller workforce and tighter presidential control as corrections to an unaccountable bureaucracy. Critics emphasized statutory duties, lost expertise, disrupted services, and protections against politically motivated personnel decisions. Neither the number of positions eliminated nor the number retained is sufficient to settle the question of efficiency. A credible savings assessment must include the costs of implementation and the quality and timeliness of services that remain. Announced contract cancellations should not be treated as audited cash savings without reconciliation.</w:t>
      </w:r>
    </w:p>
    <w:p>
      <w:r>
        <w:t xml:space="preserve">The institutional conflicts extended to courts, universities, law enforcement, and the press. One current example was litigation over White House access for journalists. In October 2026 a federal judge extended protection for reporters from several outlets while the case continued, finding likely constitutional problems with the administration's exclusion of them. That was preliminary judicial relief rather than a final resolution of all claims. It is evidence both of executive pressure and of an institution continuing to constrain it. </w:t>
      </w:r>
      <w:r>
        <w:rPr>
          <w:sz w:val="20"/>
        </w:rPr>
        <w:t>[</w:t>
      </w:r>
      <w:hyperlink w:anchor="note_9_16">
        <w:r>
          <w:rPr>
            <w:color w:val="214F70"/>
            <w:sz w:val="20"/>
          </w:rPr>
          <w:t xml:space="preserve">9.16</w:t>
        </w:r>
      </w:hyperlink>
      <w:r>
        <w:rPr>
          <w:sz w:val="20"/>
        </w:rPr>
        <w:t>]</w:t>
      </w:r>
    </w:p>
    <w:p>
      <w:r>
        <w:t xml:space="preserve">Foreign policy made the distinction between a successful operation and a successful strategy especially consequential. In June 2025, United States forces struck Iranian nuclear facilities in Operation Midnight Hammer. The administration emphasized the operation's reach and destructive capacity. Damage to facilities, the location and status of nuclear material, the time needed to restore capability, and Iran's subsequent decisions were separate questions. A claim of permanent elimination of a program required more evidence than the successful delivery of weapons to targets. </w:t>
      </w:r>
      <w:r>
        <w:rPr>
          <w:sz w:val="20"/>
        </w:rPr>
        <w:t>[</w:t>
      </w:r>
      <w:hyperlink w:anchor="note_9_17">
        <w:r>
          <w:rPr>
            <w:color w:val="214F70"/>
            <w:sz w:val="20"/>
          </w:rPr>
          <w:t xml:space="preserve">9.17</w:t>
        </w:r>
      </w:hyperlink>
      <w:r>
        <w:rPr>
          <w:sz w:val="20"/>
        </w:rPr>
        <w:t>]</w:t>
      </w:r>
    </w:p>
    <w:p>
      <w:r>
        <w:t xml:space="preserve">On February 28, 2026, the United States began the larger campaign identified by Central Command as Operation Epic Fury. Official descriptions identified military objectives involving Iran's capabilities. By late summer and October, contemporary reporting described continuing conflict, severe disruption to shipping through the Strait of Hormuz, and a failure to secure a durable settlement. Those observed consequences belong beside the administration's stated goals. The record at the cutoff did not support treating the conflict as a completed, short intervention with all strategic objectives achieved. </w:t>
      </w:r>
      <w:r>
        <w:rPr>
          <w:sz w:val="20"/>
        </w:rPr>
        <w:t>[</w:t>
      </w:r>
      <w:hyperlink w:anchor="note_9_18">
        <w:r>
          <w:rPr>
            <w:color w:val="214F70"/>
            <w:sz w:val="20"/>
          </w:rPr>
          <w:t xml:space="preserve">9.18</w:t>
        </w:r>
      </w:hyperlink>
      <w:r>
        <w:rPr>
          <w:sz w:val="20"/>
        </w:rPr>
        <w:t xml:space="preserve">; </w:t>
      </w:r>
      <w:hyperlink w:anchor="note_9_19">
        <w:r>
          <w:rPr>
            <w:color w:val="214F70"/>
            <w:sz w:val="20"/>
          </w:rPr>
          <w:t xml:space="preserve">9.19</w:t>
        </w:r>
      </w:hyperlink>
      <w:r>
        <w:rPr>
          <w:sz w:val="20"/>
        </w:rPr>
        <w:t>]</w:t>
      </w:r>
    </w:p>
    <w:p>
      <w:r>
        <w:t>The strongest argument offered by supporters was that force and economic pressure could reduce a threat that diplomacy had not removed. The strongest outcome-based criticism was that tactical damage had not yet produced a stable political resolution and had coincided with major costs to shipping and energy markets. The exact contribution of particular actions to those costs remained subject to further evidence. No speculative casualty total or claim of verified permanent nuclear disarmament is needed to state what the available record shows.</w:t>
      </w:r>
    </w:p>
    <w:p>
      <w:r>
        <w:t xml:space="preserve">Venezuela presented a different operation. On January 3, 2026, United States forces carried out Operation Absolute Resolve, capturing Nicolás Maduro. The White House published an account and images of Trump monitoring the action. In his public explanation, Trump connected it to security, governance, and American interests. Capture was an observable operational result; it was not a criminal conviction, a completed democratic transition, or proof that subsequent economic promises would be fulfilled. </w:t>
      </w:r>
      <w:r>
        <w:rPr>
          <w:sz w:val="20"/>
        </w:rPr>
        <w:t>[</w:t>
      </w:r>
      <w:hyperlink w:anchor="note_9_20">
        <w:r>
          <w:rPr>
            <w:color w:val="214F70"/>
            <w:sz w:val="20"/>
          </w:rPr>
          <w:t xml:space="preserve">9.20</w:t>
        </w:r>
      </w:hyperlink>
      <w:r>
        <w:rPr>
          <w:sz w:val="20"/>
        </w:rPr>
        <w:t>]</w:t>
      </w:r>
    </w:p>
    <w:p>
      <w:r>
        <w:t xml:space="preserve">By September, Trump had met acting Venezuelan president Delcy Rodríguez. Reuters reported continued negotiations concerning oil and other arrangements, and later reported large investment expectations announced by Venezuelan officials. Such announcements establish what leaders said they expected or sought. They do not establish that the money had been invested, that production had increased by a promised amount, or that political rights had been durably secured. The operation's longer-term result remained open. </w:t>
      </w:r>
      <w:r>
        <w:rPr>
          <w:sz w:val="20"/>
        </w:rPr>
        <w:t>[</w:t>
      </w:r>
      <w:hyperlink w:anchor="note_9_21">
        <w:r>
          <w:rPr>
            <w:color w:val="214F70"/>
            <w:sz w:val="20"/>
          </w:rPr>
          <w:t xml:space="preserve">9.21</w:t>
        </w:r>
      </w:hyperlink>
      <w:r>
        <w:rPr>
          <w:sz w:val="20"/>
        </w:rPr>
        <w:t>]</w:t>
      </w:r>
    </w:p>
    <w:p>
      <w:r>
        <w:t xml:space="preserve">In Ukraine, the administration pursued negotiations with Russia and Ukraine while changing the balance of pressure on the parties. On October 11, Trump announced an energy ceasefire, but contemporaneous reporting found no immediate matching confirmation of an implemented agreement and described continued attacks. Later reporting described additional bargaining, including controversy over Russian fuel arrangements. The observed result at the cutoff was continued war and incomplete diplomacy. The record did not establish the durable peace Trump had promised to obtain. </w:t>
      </w:r>
      <w:r>
        <w:rPr>
          <w:sz w:val="20"/>
        </w:rPr>
        <w:t>[</w:t>
      </w:r>
      <w:hyperlink w:anchor="note_9_22">
        <w:r>
          <w:rPr>
            <w:color w:val="214F70"/>
            <w:sz w:val="20"/>
          </w:rPr>
          <w:t xml:space="preserve">9.22</w:t>
        </w:r>
      </w:hyperlink>
      <w:r>
        <w:rPr>
          <w:sz w:val="20"/>
        </w:rPr>
        <w:t xml:space="preserve">; </w:t>
      </w:r>
      <w:hyperlink w:anchor="note_9_23">
        <w:r>
          <w:rPr>
            <w:color w:val="214F70"/>
            <w:sz w:val="20"/>
          </w:rPr>
          <w:t xml:space="preserve">9.23</w:t>
        </w:r>
      </w:hyperlink>
      <w:r>
        <w:rPr>
          <w:sz w:val="20"/>
        </w:rPr>
        <w:t>]</w:t>
      </w:r>
    </w:p>
    <w:p>
      <w:r>
        <w:t>These cases should not be collapsed into a single statement that the president either achieved peace everywhere or accomplished nothing. They involved different objectives and outcomes. A captured leader, a damaged facility, reduced border apprehensions, a signed law, and an unsuccessful ceasefire announcement are not interchangeable units of success. The biography can identify each result without assuming that the same rhetoric establishes the same level of completion in every setting.</w:t>
      </w:r>
    </w:p>
    <w:p>
      <w:r>
        <w:t xml:space="preserve">Public opinion by October was unfavorable in several major surveys. A Reuters/Ipsos poll conducted October 16–19 among 1,679 adults reported 31 percent approval and 66 percent disapproval, with a sampling margin of error of approximately 2.4 percentage points for the full sample. An ABC News/Washington Post/Ipsos release published October 20 reported 33 percent approval and 66 percent disapproval in its separate sample. These are snapshots of measured opinion, not a combined national plebiscite or a prediction that cannot be wrong. </w:t>
      </w:r>
      <w:r>
        <w:rPr>
          <w:sz w:val="20"/>
        </w:rPr>
        <w:t>[</w:t>
      </w:r>
      <w:hyperlink w:anchor="note_9_24">
        <w:r>
          <w:rPr>
            <w:color w:val="214F70"/>
            <w:sz w:val="20"/>
          </w:rPr>
          <w:t xml:space="preserve">9.24</w:t>
        </w:r>
      </w:hyperlink>
      <w:r>
        <w:rPr>
          <w:sz w:val="20"/>
        </w:rPr>
        <w:t xml:space="preserve">; </w:t>
      </w:r>
      <w:hyperlink w:anchor="note_9_25">
        <w:r>
          <w:rPr>
            <w:color w:val="214F70"/>
            <w:sz w:val="20"/>
          </w:rPr>
          <w:t xml:space="preserve">9.25</w:t>
        </w:r>
      </w:hyperlink>
      <w:r>
        <w:rPr>
          <w:sz w:val="20"/>
        </w:rPr>
        <w:t>]</w:t>
      </w:r>
    </w:p>
    <w:p>
      <w:r>
        <w:t xml:space="preserve">The Reuters/Ipsos questionnaire also illustrates why a generic-ballot figure needs its definition. Among registered voters, the initial question produced 47 percent for a Democratic candidate and 35 percent for a Republican. Including follow-up leanings produced 51 percent and 40 percent. Both pairs appeared in the same published instrument. Neither was the result of a congressional election, and neither directly specified how many seats each party would win. </w:t>
      </w:r>
      <w:r>
        <w:rPr>
          <w:sz w:val="20"/>
        </w:rPr>
        <w:t>[</w:t>
      </w:r>
      <w:hyperlink w:anchor="note_9_26">
        <w:r>
          <w:rPr>
            <w:color w:val="214F70"/>
            <w:sz w:val="20"/>
          </w:rPr>
          <w:t xml:space="preserve">9.26</w:t>
        </w:r>
      </w:hyperlink>
      <w:r>
        <w:rPr>
          <w:sz w:val="20"/>
        </w:rPr>
        <w:t>]</w:t>
      </w:r>
    </w:p>
    <w:p>
      <w:r>
        <w:t>The early second-term record thus contained measurable achievements on some stated objectives, major legal reversals, slow employment growth, renewed price pressure, extensive institutional conflict, and foreign operations with incomplete strategic results. Support and opposition remained politically organized, but the remaining term had not occurred. The proper ending for this chapter is a date, not a prediction disguised as history. On October 20, 2026, Trump was still governing, cases and policies were still changing, and the eventual account required evidence that did not yet exist.</w:t>
      </w:r>
    </w:p>
    <w:p>
      <w:pPr>
        <w:pStyle w:val="ChapterLabel"/>
        <w:pageBreakBefore/>
      </w:pPr>
      <w:r>
        <w:t>Chapter 10</w:t>
      </w:r>
    </w:p>
    <w:p>
      <w:pPr>
        <w:pStyle w:val="Heading1"/>
      </w:pPr>
      <w:r>
        <w:t>Patterns, Limits, and Open Questions</w:t>
      </w:r>
    </w:p>
    <w:p>
      <w:r>
        <w:t xml:space="preserve">Trump's public life has repeatedly crossed the boundary between a transaction and the story told about it. A hotel opening could establish an operating business and a reputation. A corporate restructuring could reduce a debt burden while leaving the public name intact. A television program could turn a developer into a national model of executive judgment. A court ruling could be described as complete victory even when it preserved adverse findings. The recurring pattern is not that the underlying events were unreal. It is that their public meaning became a separate object of sustained effort. </w:t>
      </w:r>
      <w:r>
        <w:rPr>
          <w:sz w:val="20"/>
        </w:rPr>
        <w:t>[</w:t>
      </w:r>
      <w:hyperlink w:anchor="note_10_1">
        <w:r>
          <w:rPr>
            <w:color w:val="214F70"/>
            <w:sz w:val="20"/>
          </w:rPr>
          <w:t xml:space="preserve">10.1</w:t>
        </w:r>
      </w:hyperlink>
      <w:r>
        <w:rPr>
          <w:sz w:val="20"/>
        </w:rPr>
        <w:t>]</w:t>
      </w:r>
    </w:p>
    <w:p>
      <w:r>
        <w:t>The business record supports a specific account of ability and limitation. Trump helped complete major developments and built a name with substantial commercial recognition. His companies also accumulated debts that led to repeated corporate bankruptcies, and some ventures generated adverse regulatory findings or significant settlements. Those outcomes do not fit a simple biography of uninterrupted business mastery. They also do not fit an account in which nothing of value was built or sold. The appropriate unit of analysis is the project, transaction, company, and period, followed by an assessment of what the pattern across them supports.</w:t>
      </w:r>
    </w:p>
    <w:p>
      <w:r>
        <w:t xml:space="preserve">Family advantage was substantial. So was the distance between the market Fred Trump chiefly served and the public role Donald eventually occupied. These facts answer different questions. Family resources explain access to opportunities and the capacity to survive setbacks. They do not, by themselves, explain the particular form of Trump's celebrity or every subsequent decision. A biography should resist converting either inheritance or personal initiative into an explanation so complete that all other causes become unnecessary. </w:t>
      </w:r>
      <w:r>
        <w:rPr>
          <w:sz w:val="20"/>
        </w:rPr>
        <w:t>[</w:t>
      </w:r>
      <w:hyperlink w:anchor="note_10_2">
        <w:r>
          <w:rPr>
            <w:color w:val="214F70"/>
            <w:sz w:val="20"/>
          </w:rPr>
          <w:t xml:space="preserve">10.2</w:t>
        </w:r>
      </w:hyperlink>
      <w:r>
        <w:rPr>
          <w:sz w:val="20"/>
        </w:rPr>
        <w:t>]</w:t>
      </w:r>
    </w:p>
    <w:p>
      <w:r>
        <w:t>The public record is better at documenting actions than at recovering motives. It can show that Trump attacked an investigator, appealed a judgment, changed a policy, or announced an agreement. It is often less capable of showing the exact mixture of belief, strategy, anger, calculation, and advice behind an action. Assertions about private intent are strongest when tied to contemporaneous communications, sworn testimony, or findings under a legal standard. Repetition of a theory about personality does not make it documentary evidence.</w:t>
      </w:r>
    </w:p>
    <w:p>
      <w:r>
        <w:t>The media strategy is more observable. Trump has repeatedly made conflict a means of retaining attention. The accusation, the response, the attack on the institution making the accusation, and the declaration of victory can each extend the life of a story. That sequence can be effective even when the immediate legal or financial result is unfavorable. The effectiveness of the communication does not determine whether its factual content is accurate. Political success and evidentiary accuracy remain different questions.</w:t>
      </w:r>
    </w:p>
    <w:p>
      <w:r>
        <w:t xml:space="preserve">The distinction became especially consequential in office. A business can negotiate with a creditor over repayment or licensing. A president may negotiate with legislators, foreign leaders, and other officials, but constitutional authority is not simply whatever a negotiation can obtain. Courts can reject an asserted power; Congress can withhold legislation; officials can refuse an unlawful instruction; voters can select another candidate. Trump's career shows repeated attempts to turn institutional resistance into a question of personal loyalty or hostility. The record also shows that institutions sometimes constrained him and sometimes enabled or supported him. </w:t>
      </w:r>
      <w:r>
        <w:rPr>
          <w:sz w:val="20"/>
        </w:rPr>
        <w:t>[</w:t>
      </w:r>
      <w:hyperlink w:anchor="note_10_3">
        <w:r>
          <w:rPr>
            <w:color w:val="214F70"/>
            <w:sz w:val="20"/>
          </w:rPr>
          <w:t xml:space="preserve">10.3</w:t>
        </w:r>
      </w:hyperlink>
      <w:r>
        <w:rPr>
          <w:sz w:val="20"/>
        </w:rPr>
        <w:t>]</w:t>
      </w:r>
    </w:p>
    <w:p>
      <w:r>
        <w:t>Neither observation supports an automatic conclusion about every official who worked with him. Participation in an administration encompasses different jobs, decisions, and levels of knowledge. Officials who supported tax legislation might resist an election demand. Judges he appointed could rule against his administration. Republican legislators could vote for a policy and against an impeachment article for different reasons. Treating the entire institutional world as a single loyal or disloyal bloc would reproduce the simplification the biography is meant to examine.</w:t>
      </w:r>
    </w:p>
    <w:p>
      <w:r>
        <w:t xml:space="preserve">The personal-conduct record likewise requires distinctions that cannot be replaced by a single label. The marriages and recorded remarks are established events. Public allegations differ in corroboration and disposition. The Carroll litigation produced actual civil findings and judgments, with different subsequent payment and review histories. The absence of a criminal conviction in those cases does not erase civil liability. The existence of civil liability does not authorize reporting every other allegation as proven. </w:t>
      </w:r>
      <w:r>
        <w:rPr>
          <w:sz w:val="20"/>
        </w:rPr>
        <w:t>[</w:t>
      </w:r>
      <w:hyperlink w:anchor="note_10_4">
        <w:r>
          <w:rPr>
            <w:color w:val="214F70"/>
            <w:sz w:val="20"/>
          </w:rPr>
          <w:t xml:space="preserve">10.4</w:t>
        </w:r>
      </w:hyperlink>
      <w:r>
        <w:rPr>
          <w:sz w:val="20"/>
        </w:rPr>
        <w:t>]</w:t>
      </w:r>
    </w:p>
    <w:p>
      <w:r>
        <w:t>Trump's legal record demonstrates why procedural vocabulary is part of the substance. An allegation initiates a claim; a verdict resolves questions submitted to a fact-finder under a specified burden; a settlement can end a dispute without resolving all allegations; a dismissal can rest on jurisdiction or prosecutorial authority rather than factual innocence; an appellate reversal can affect a remedy while preserving liability. These are not qualifications added to soften a conclusion. They are the conclusion's legal content.</w:t>
      </w:r>
    </w:p>
    <w:p>
      <w:r>
        <w:t xml:space="preserve">The four criminal cases illustrate the point particularly clearly. Their endings cannot be combined into either four convictions or four exonerations. The New York case produced a conviction and a noncustodial sentence that remained subject to challenge. The federal cases ended without a trial after separate procedural developments. Georgia's prosecution was abandoned. The corporate tax convictions belonged to corporate defendants. A biography that keeps these results separate may be less convenient for a campaign message, but it is more faithful to the record. </w:t>
      </w:r>
      <w:r>
        <w:rPr>
          <w:sz w:val="20"/>
        </w:rPr>
        <w:t>[</w:t>
      </w:r>
      <w:hyperlink w:anchor="note_10_5">
        <w:r>
          <w:rPr>
            <w:color w:val="214F70"/>
            <w:sz w:val="20"/>
          </w:rPr>
          <w:t xml:space="preserve">10.5</w:t>
        </w:r>
      </w:hyperlink>
      <w:r>
        <w:rPr>
          <w:sz w:val="20"/>
        </w:rPr>
        <w:t>]</w:t>
      </w:r>
    </w:p>
    <w:p>
      <w:r>
        <w:t xml:space="preserve">Policy evaluation presents a parallel difficulty. A favorable indicator does not establish that every associated policy worked; an unfavorable indicator does not establish that nothing worked. The pre-pandemic labor market improved during the first term, but the expansion predated it. Vaccine development accelerated with significant federal support, while the pandemic response contained serious failures. Lower border apprehensions in the second term were a meaningful result on that measure, without settling questions about removals, due process, or asylum. The same method must be used regardless of which outcome a reader prefers. </w:t>
      </w:r>
      <w:r>
        <w:rPr>
          <w:sz w:val="20"/>
        </w:rPr>
        <w:t>[</w:t>
      </w:r>
      <w:hyperlink w:anchor="note_10_6">
        <w:r>
          <w:rPr>
            <w:color w:val="214F70"/>
            <w:sz w:val="20"/>
          </w:rPr>
          <w:t xml:space="preserve">10.6</w:t>
        </w:r>
      </w:hyperlink>
      <w:r>
        <w:rPr>
          <w:sz w:val="20"/>
        </w:rPr>
        <w:t>]</w:t>
      </w:r>
    </w:p>
    <w:p>
      <w:r>
        <w:t>The choice of comparison period can change the appearance of an achievement. Ending an economic series in February 2020 excludes the pandemic; ending it in January 2021 includes the pandemic but may conceal the previous expansion. Beginning a border series at a peak rather than a recent average can enlarge a percentage decline. Reporting tariff collections before refunds can produce a different story from net revenue afterward. The remedy is not to abandon measurement. It is to state dates, definitions, revisions, and the difference between an observation and a causal claim.</w:t>
      </w:r>
    </w:p>
    <w:p>
      <w:r>
        <w:t>Some questions cannot yet be answered at the cutoff. The second term was incomplete. Its wars, negotiations, staffing changes, fiscal consequences, and court disputes were still developing. Long-term effects on productivity, investment, migration, administrative capacity, and alliances would require later evidence. Forecasts can help specify what proponents expect, but they are not future history. The fact that an announced policy has not yet achieved a promised result is important; the assertion that it can never do so generally requires more evidence.</w:t>
      </w:r>
    </w:p>
    <w:p>
      <w:r>
        <w:t>The source record also has gaps unrelated to the passage of time. Public financial disclosures often use ranges and report categories of income or holdings that cannot simply be added into a precise net-worth calculation. Private businesses do not publish all the information available from public companies. Court filings are selected for the purposes of litigation. An official press release may accurately identify an action while presenting its benefits selectively. News investigations may reveal important documents while leaving some records unavailable to independent readers.</w:t>
      </w:r>
    </w:p>
    <w:p>
      <w:r>
        <w:t>Primary sources are therefore preferred, not treated as infallible. A government's statement about its own success is primary evidence of the government's position. A statistical agency's release is primary evidence of its estimate and method. A prosecutor's indictment is primary evidence of the charges. A court's order is primary evidence of the disposition. The category determines what the source can support. Calling all four official documents does not make them interchangeable.</w:t>
      </w:r>
    </w:p>
    <w:p>
      <w:r>
        <w:t>Contemporaneous reporting remains necessary. It can connect a filed order with an actual payment, report an operation's observed effects, or obtain responses from people whose accounts do not appear in a government release. Its strength increases when it identifies documents and methods and when independent outlets corroborate the account. Agreement among several stories that all repeat the same anonymous assertion is weaker than genuinely independent confirmation. This is particularly important for military outcomes, private financial arrangements, and rapidly changing legal status.</w:t>
      </w:r>
    </w:p>
    <w:p>
      <w:r>
        <w:t>The manuscript itself has limits. It is a shorter research draft covering the ten requested chapters, not the requested 400–450-page finished biography. It does not claim exhaustive review of every docket entry, a transaction-by-transaction audit of Trump's wealth, interviews with the participants, or full coverage of every policy and allegation. Some recent agency materials were available through indexed excerpts or republication rather than a complete directly retrieved file; the notes identify those cases. Those are editorial limitations to be remedied, not reasons to conceal well-supported findings already established.</w:t>
      </w:r>
    </w:p>
    <w:p>
      <w:r>
        <w:t>Further development would need to deepen the narrative through archival work, more contemporaneous business records, additional firsthand accounts, full reconciliation of current financial disclosures, and a comprehensive final check of appellate dockets. The goal would not be to lengthen the text by repeating controversies. It would be to recover decisions, participants, consequences, and competing evidence at the level a full-length biography requires. Page count is a production measure; documentary completeness is a research obligation.</w:t>
      </w:r>
    </w:p>
    <w:p>
      <w:r>
        <w:t>What the present record supports is already substantial. Trump built a durable public identity across business reversals, entered politics with exceptional name recognition, won two nonconsecutive presidential elections, and changed policy and institutions. He also lost an election he refused to accept, faced repeated adverse legal findings, obtained significant legal victories, and returned to office while important disputes remained unresolved. The evidence does not require those facts to be converted into a single adjective.</w:t>
      </w:r>
    </w:p>
    <w:p>
      <w:r>
        <w:t>The biography remains provisional because its subject is still acting and because institutions are still producing the records by which those actions will be judged. Provisional does not mean that every fact is uncertain. It means that established events should remain established, contested claims should remain attributed, and later developments should be allowed to change conclusions where the evidence warrants. On October 20, 2026, that is the boundary of the record.</w:t>
      </w:r>
    </w:p>
    <w:p>
      <w:pPr>
        <w:pStyle w:val="Heading1"/>
        <w:pageBreakBefore/>
      </w:pPr>
      <w:r>
        <w:t>Sources and Notes</w:t>
      </w:r>
    </w:p>
    <w:p>
      <w:pPr>
        <w:pStyle w:val="Edition"/>
      </w:pPr>
      <w:r>
        <w:t>Notes are numbered by chapter. Court opinions and statutory texts establish dispositions and legal rules; pleadings and petitions establish the positions advanced by their authors. Government announcements establish reported actions and official claims. News reports supplement the documentary record. Where only an indexed extract or republication was available, the note says so. Interpretive passages are the manuscript’s synthesis and are not additional legal findings.</w:t>
      </w:r>
    </w:p>
    <w:p>
      <w:pPr>
        <w:pStyle w:val="Heading2"/>
      </w:pPr>
      <w:r>
        <w:t>Chapter 1</w:t>
      </w:r>
    </w:p>
    <w:p>
      <w:bookmarkStart w:id="1" w:name="note_1_1"/>
      <w:pPr>
        <w:pStyle w:val="SourceNote"/>
      </w:pPr>
      <w:bookmarkEnd w:id="1"/>
      <w:r>
        <w:rPr>
          <w:b/>
        </w:rPr>
        <w:t xml:space="preserve">1.1  </w:t>
      </w:r>
      <w:hyperlink r:id="rId11">
        <w:r>
          <w:rPr>
            <w:color w:val="214F70"/>
            <w:sz w:val="20"/>
          </w:rPr>
          <w:t xml:space="preserve">White House Historical Association, “Donald J. Trump.”</w:t>
        </w:r>
      </w:hyperlink>
      <w:r>
        <w:t xml:space="preserve"> </w:t>
      </w:r>
      <w:hyperlink r:id="rId12">
        <w:r>
          <w:rPr>
            <w:color w:val="214F70"/>
            <w:sz w:val="20"/>
          </w:rPr>
          <w:t xml:space="preserve">Miller Center, “Donald Trump: Family Life.”</w:t>
        </w:r>
      </w:hyperlink>
    </w:p>
    <w:p>
      <w:bookmarkStart w:id="2" w:name="note_1_2"/>
      <w:pPr>
        <w:pStyle w:val="SourceNote"/>
      </w:pPr>
      <w:bookmarkEnd w:id="2"/>
      <w:r>
        <w:rPr>
          <w:b/>
        </w:rPr>
        <w:t xml:space="preserve">1.2  </w:t>
      </w:r>
      <w:hyperlink r:id="rId13">
        <w:r>
          <w:rPr>
            <w:color w:val="214F70"/>
            <w:sz w:val="20"/>
          </w:rPr>
          <w:t xml:space="preserve">Miller Center, “Donald Trump: Life Before the Presidency.”</w:t>
        </w:r>
      </w:hyperlink>
      <w:r>
        <w:t xml:space="preserve"> </w:t>
      </w:r>
      <w:hyperlink r:id="rId14">
        <w:r>
          <w:rPr>
            <w:color w:val="214F70"/>
            <w:sz w:val="20"/>
          </w:rPr>
          <w:t xml:space="preserve">New York Times, investigation of Trump family wealth and tax arrangements, October 2, 2018 (archived copy).</w:t>
        </w:r>
      </w:hyperlink>
      <w:r>
        <w:t xml:space="preserve"> The $413 million figure is the reporters’ reconstruction in 2018 dollars. Trump’s lawyer disputed allegations of fraud and tax evasion; this was not a criminal judgment.</w:t>
      </w:r>
    </w:p>
    <w:p>
      <w:bookmarkStart w:id="3" w:name="note_1_3"/>
      <w:pPr>
        <w:pStyle w:val="SourceNote"/>
      </w:pPr>
      <w:bookmarkEnd w:id="3"/>
      <w:r>
        <w:rPr>
          <w:b/>
        </w:rPr>
        <w:t xml:space="preserve">1.3  </w:t>
      </w:r>
      <w:hyperlink r:id="rId13">
        <w:r>
          <w:rPr>
            <w:color w:val="214F70"/>
            <w:sz w:val="20"/>
          </w:rPr>
          <w:t xml:space="preserve">Miller Center, “Donald Trump: Life Before the Presidency.”</w:t>
        </w:r>
      </w:hyperlink>
      <w:r>
        <w:t xml:space="preserve"> </w:t>
      </w:r>
      <w:hyperlink r:id="rId12">
        <w:r>
          <w:rPr>
            <w:color w:val="214F70"/>
            <w:sz w:val="20"/>
          </w:rPr>
          <w:t xml:space="preserve">Miller Center, “Donald Trump: Family Life.”</w:t>
        </w:r>
      </w:hyperlink>
    </w:p>
    <w:p>
      <w:bookmarkStart w:id="4" w:name="note_1_4"/>
      <w:pPr>
        <w:pStyle w:val="SourceNote"/>
      </w:pPr>
      <w:bookmarkEnd w:id="4"/>
      <w:r>
        <w:rPr>
          <w:b/>
        </w:rPr>
        <w:t xml:space="preserve">1.4  </w:t>
      </w:r>
      <w:hyperlink r:id="rId15">
        <w:r>
          <w:rPr>
            <w:color w:val="214F70"/>
            <w:sz w:val="20"/>
          </w:rPr>
          <w:t xml:space="preserve">Civil Rights Litigation Clearinghouse, United States v. Fred C. Trump, Donald Trump, and Trump Management, case history and documents.</w:t>
        </w:r>
      </w:hyperlink>
      <w:r>
        <w:t xml:space="preserve"> </w:t>
      </w:r>
      <w:hyperlink r:id="rId16">
        <w:r>
          <w:rPr>
            <w:color w:val="214F70"/>
            <w:sz w:val="20"/>
          </w:rPr>
          <w:t xml:space="preserve">United States v. Trump, complaint, October 15, 1973 (Frontline reproduction).</w:t>
        </w:r>
      </w:hyperlink>
      <w:r>
        <w:t xml:space="preserve"> A pleading containing allegations, not a verdict.</w:t>
      </w:r>
    </w:p>
    <w:p>
      <w:bookmarkStart w:id="5" w:name="note_1_5"/>
      <w:pPr>
        <w:pStyle w:val="SourceNote"/>
      </w:pPr>
      <w:bookmarkEnd w:id="5"/>
      <w:r>
        <w:rPr>
          <w:b/>
        </w:rPr>
        <w:t xml:space="preserve">1.5  </w:t>
      </w:r>
      <w:hyperlink r:id="rId17">
        <w:r>
          <w:rPr>
            <w:color w:val="214F70"/>
            <w:sz w:val="20"/>
          </w:rPr>
          <w:t xml:space="preserve">United States v. Trump, government memorandum supporting relief (Clearinghouse reproduction).</w:t>
        </w:r>
      </w:hyperlink>
      <w:r>
        <w:t xml:space="preserve"> </w:t>
      </w:r>
      <w:hyperlink r:id="rId15">
        <w:r>
          <w:rPr>
            <w:color w:val="214F70"/>
            <w:sz w:val="20"/>
          </w:rPr>
          <w:t xml:space="preserve">Civil Rights Litigation Clearinghouse, United States v. Fred C. Trump, Donald Trump, and Trump Management, case history and documents.</w:t>
        </w:r>
      </w:hyperlink>
    </w:p>
    <w:p>
      <w:bookmarkStart w:id="6" w:name="note_1_6"/>
      <w:pPr>
        <w:pStyle w:val="SourceNote"/>
      </w:pPr>
      <w:bookmarkEnd w:id="6"/>
      <w:r>
        <w:rPr>
          <w:b/>
        </w:rPr>
        <w:t xml:space="preserve">1.6  </w:t>
      </w:r>
      <w:hyperlink r:id="rId18">
        <w:r>
          <w:rPr>
            <w:color w:val="214F70"/>
            <w:sz w:val="20"/>
          </w:rPr>
          <w:t xml:space="preserve">United States v. Trump, consent decree, June 1975 (Clearinghouse reproduction).</w:t>
        </w:r>
      </w:hyperlink>
      <w:r>
        <w:t xml:space="preserve"> The settlement imposed obligations without an admission of wrongdoing.</w:t>
      </w:r>
    </w:p>
    <w:p>
      <w:bookmarkStart w:id="7" w:name="note_1_7"/>
      <w:pPr>
        <w:pStyle w:val="SourceNote"/>
      </w:pPr>
      <w:bookmarkEnd w:id="7"/>
      <w:r>
        <w:rPr>
          <w:b/>
        </w:rPr>
        <w:t xml:space="preserve">1.7  </w:t>
      </w:r>
      <w:hyperlink r:id="rId19">
        <w:r>
          <w:rPr>
            <w:color w:val="214F70"/>
            <w:sz w:val="20"/>
          </w:rPr>
          <w:t xml:space="preserve">United States v. Trump, government application for supplemental relief, 1978 (Clearinghouse reproduction).</w:t>
        </w:r>
      </w:hyperlink>
      <w:r>
        <w:t xml:space="preserve"> Allegations of noncompliance must be distinguished from adjudicated findings.</w:t>
      </w:r>
    </w:p>
    <w:p>
      <w:bookmarkStart w:id="8" w:name="note_1_8"/>
      <w:pPr>
        <w:pStyle w:val="SourceNote"/>
      </w:pPr>
      <w:bookmarkEnd w:id="8"/>
      <w:r>
        <w:rPr>
          <w:b/>
        </w:rPr>
        <w:t xml:space="preserve">1.8  </w:t>
      </w:r>
      <w:hyperlink r:id="rId13">
        <w:r>
          <w:rPr>
            <w:color w:val="214F70"/>
            <w:sz w:val="20"/>
          </w:rPr>
          <w:t xml:space="preserve">Miller Center, “Donald Trump: Life Before the Presidency.”</w:t>
        </w:r>
      </w:hyperlink>
      <w:r>
        <w:t xml:space="preserve"> </w:t>
      </w:r>
      <w:hyperlink r:id="rId20">
        <w:r>
          <w:rPr>
            <w:color w:val="214F70"/>
            <w:sz w:val="20"/>
          </w:rPr>
          <w:t xml:space="preserve">Trump Organization, Donald J. Trump biography.</w:t>
        </w:r>
      </w:hyperlink>
      <w:r>
        <w:t xml:space="preserve"> An interested party’s account; used for the business’s presentation of its projects, not as an independent audit.</w:t>
      </w:r>
    </w:p>
    <w:p>
      <w:bookmarkStart w:id="9" w:name="note_1_9"/>
      <w:pPr>
        <w:pStyle w:val="SourceNote"/>
      </w:pPr>
      <w:bookmarkEnd w:id="9"/>
      <w:r>
        <w:rPr>
          <w:b/>
        </w:rPr>
        <w:t xml:space="preserve">1.9  </w:t>
      </w:r>
      <w:hyperlink r:id="rId13">
        <w:r>
          <w:rPr>
            <w:color w:val="214F70"/>
            <w:sz w:val="20"/>
          </w:rPr>
          <w:t xml:space="preserve">Miller Center, “Donald Trump: Life Before the Presidency.”</w:t>
        </w:r>
      </w:hyperlink>
      <w:r>
        <w:t xml:space="preserve"> </w:t>
      </w:r>
      <w:hyperlink r:id="rId20">
        <w:r>
          <w:rPr>
            <w:color w:val="214F70"/>
            <w:sz w:val="20"/>
          </w:rPr>
          <w:t xml:space="preserve">Trump Organization, Donald J. Trump biography.</w:t>
        </w:r>
      </w:hyperlink>
      <w:r>
        <w:t xml:space="preserve"> An interested party’s account; used for the business’s presentation of its projects, not as an independent audit.</w:t>
      </w:r>
    </w:p>
    <w:p>
      <w:bookmarkStart w:id="10" w:name="note_1_10"/>
      <w:pPr>
        <w:pStyle w:val="SourceNote"/>
      </w:pPr>
      <w:bookmarkEnd w:id="10"/>
      <w:r>
        <w:rPr>
          <w:b/>
        </w:rPr>
        <w:t xml:space="preserve">1.10  </w:t>
      </w:r>
      <w:hyperlink r:id="rId12">
        <w:r>
          <w:rPr>
            <w:color w:val="214F70"/>
            <w:sz w:val="20"/>
          </w:rPr>
          <w:t xml:space="preserve">Miller Center, “Donald Trump: Family Life.”</w:t>
        </w:r>
      </w:hyperlink>
    </w:p>
    <w:p>
      <w:bookmarkStart w:id="11" w:name="note_1_11"/>
      <w:pPr>
        <w:pStyle w:val="SourceNote"/>
      </w:pPr>
      <w:bookmarkEnd w:id="11"/>
      <w:r>
        <w:rPr>
          <w:b/>
        </w:rPr>
        <w:t xml:space="preserve">1.11  </w:t>
      </w:r>
      <w:hyperlink r:id="rId21">
        <w:r>
          <w:rPr>
            <w:color w:val="214F70"/>
            <w:sz w:val="20"/>
          </w:rPr>
          <w:t xml:space="preserve">Washington Post, contemporary reporting on the completed Wollman Rink renovation, November 14, 1986.</w:t>
        </w:r>
      </w:hyperlink>
      <w:r>
        <w:t xml:space="preserve"> Used for the completion and schedule/budget comparison only.</w:t>
      </w:r>
      <w:r>
        <w:t xml:space="preserve"> </w:t>
      </w:r>
      <w:hyperlink r:id="rId22">
        <w:r>
          <w:rPr>
            <w:color w:val="214F70"/>
            <w:sz w:val="20"/>
          </w:rPr>
          <w:t xml:space="preserve">Donald Trump interview with David Letterman, December 2, 1987, transcript archived by Roll Call/Factba.se.</w:t>
        </w:r>
      </w:hyperlink>
      <w:r>
        <w:t xml:space="preserve"> Trump’s own retrospective account.</w:t>
      </w:r>
    </w:p>
    <w:p>
      <w:pPr>
        <w:pStyle w:val="Heading2"/>
      </w:pPr>
      <w:r>
        <w:t>Chapter 2</w:t>
      </w:r>
    </w:p>
    <w:p>
      <w:bookmarkStart w:id="12" w:name="note_2_1"/>
      <w:pPr>
        <w:pStyle w:val="SourceNote"/>
      </w:pPr>
      <w:bookmarkEnd w:id="12"/>
      <w:r>
        <w:rPr>
          <w:b/>
        </w:rPr>
        <w:t xml:space="preserve">2.1  </w:t>
      </w:r>
      <w:hyperlink r:id="rId23">
        <w:r>
          <w:rPr>
            <w:color w:val="214F70"/>
            <w:sz w:val="20"/>
          </w:rPr>
          <w:t xml:space="preserve">ABC News, “In Atlantic City, Beachgoers Talk Trump’s Legacy as Casino Owner,” 2016.</w:t>
        </w:r>
      </w:hyperlink>
      <w:r>
        <w:t xml:space="preserve"> </w:t>
      </w:r>
      <w:hyperlink r:id="rId24">
        <w:r>
          <w:rPr>
            <w:color w:val="214F70"/>
            <w:sz w:val="20"/>
          </w:rPr>
          <w:t xml:space="preserve">Trump Hotels &amp; Casino Resorts, Form 10-K filed in 2005, SEC EDGAR.</w:t>
        </w:r>
      </w:hyperlink>
      <w:r>
        <w:t xml:space="preserve"> Corporate debt, operations, ownership, and restructuring disclosures.</w:t>
      </w:r>
    </w:p>
    <w:p>
      <w:bookmarkStart w:id="13" w:name="note_2_2"/>
      <w:pPr>
        <w:pStyle w:val="SourceNote"/>
      </w:pPr>
      <w:bookmarkEnd w:id="13"/>
      <w:r>
        <w:rPr>
          <w:b/>
        </w:rPr>
        <w:t xml:space="preserve">2.2  </w:t>
      </w:r>
      <w:hyperlink r:id="rId24">
        <w:r>
          <w:rPr>
            <w:color w:val="214F70"/>
            <w:sz w:val="20"/>
          </w:rPr>
          <w:t xml:space="preserve">Trump Hotels &amp; Casino Resorts, Form 10-K filed in 2005, SEC EDGAR.</w:t>
        </w:r>
      </w:hyperlink>
      <w:r>
        <w:t xml:space="preserve"> Corporate debt, operations, ownership, and restructuring disclosures.</w:t>
      </w:r>
    </w:p>
    <w:p>
      <w:bookmarkStart w:id="14" w:name="note_2_3"/>
      <w:pPr>
        <w:pStyle w:val="SourceNote"/>
      </w:pPr>
      <w:bookmarkEnd w:id="14"/>
      <w:r>
        <w:rPr>
          <w:b/>
        </w:rPr>
        <w:t xml:space="preserve">2.3  </w:t>
      </w:r>
      <w:hyperlink r:id="rId13">
        <w:r>
          <w:rPr>
            <w:color w:val="214F70"/>
            <w:sz w:val="20"/>
          </w:rPr>
          <w:t xml:space="preserve">Miller Center, “Donald Trump: Life Before the Presidency.”</w:t>
        </w:r>
      </w:hyperlink>
      <w:r>
        <w:t xml:space="preserve"> </w:t>
      </w:r>
      <w:hyperlink r:id="rId25">
        <w:r>
          <w:rPr>
            <w:color w:val="214F70"/>
            <w:sz w:val="20"/>
          </w:rPr>
          <w:t xml:space="preserve">Trump Media &amp; Technology Group, 2024 Form 10-K filed in 2025, SEC EDGAR, risk disclosures concerning Donald Trump.</w:t>
        </w:r>
      </w:hyperlink>
      <w:r>
        <w:t xml:space="preserve"> Lists the earlier corporate bankruptcy proceedings; not a record of personal bankruptcy.</w:t>
      </w:r>
    </w:p>
    <w:p>
      <w:bookmarkStart w:id="15" w:name="note_2_4"/>
      <w:pPr>
        <w:pStyle w:val="SourceNote"/>
      </w:pPr>
      <w:bookmarkEnd w:id="15"/>
      <w:r>
        <w:rPr>
          <w:b/>
        </w:rPr>
        <w:t xml:space="preserve">2.4  </w:t>
      </w:r>
      <w:hyperlink r:id="rId26">
        <w:r>
          <w:rPr>
            <w:color w:val="214F70"/>
            <w:sz w:val="20"/>
          </w:rPr>
          <w:t xml:space="preserve">Associated Press, retrospective reporting on The Art of the Deal and its public role.</w:t>
        </w:r>
      </w:hyperlink>
      <w:r>
        <w:t xml:space="preserve"> Bibliographic context: Donald J. Trump with Tony Schwartz, The Art of the Deal (Random House, 1987). No extended quotation from the book is reproduced.</w:t>
      </w:r>
    </w:p>
    <w:p>
      <w:bookmarkStart w:id="16" w:name="note_2_5"/>
      <w:pPr>
        <w:pStyle w:val="SourceNote"/>
      </w:pPr>
      <w:bookmarkEnd w:id="16"/>
      <w:r>
        <w:rPr>
          <w:b/>
        </w:rPr>
        <w:t xml:space="preserve">2.5  </w:t>
      </w:r>
      <w:hyperlink r:id="rId25">
        <w:r>
          <w:rPr>
            <w:color w:val="214F70"/>
            <w:sz w:val="20"/>
          </w:rPr>
          <w:t xml:space="preserve">Trump Media &amp; Technology Group, 2024 Form 10-K filed in 2025, SEC EDGAR, risk disclosures concerning Donald Trump.</w:t>
        </w:r>
      </w:hyperlink>
      <w:r>
        <w:t xml:space="preserve"> Lists the earlier corporate bankruptcy proceedings; not a record of personal bankruptcy.</w:t>
      </w:r>
    </w:p>
    <w:p>
      <w:bookmarkStart w:id="17" w:name="note_2_6"/>
      <w:pPr>
        <w:pStyle w:val="SourceNote"/>
      </w:pPr>
      <w:bookmarkEnd w:id="17"/>
      <w:r>
        <w:rPr>
          <w:b/>
        </w:rPr>
        <w:t xml:space="preserve">2.6  </w:t>
      </w:r>
      <w:hyperlink r:id="rId23">
        <w:r>
          <w:rPr>
            <w:color w:val="214F70"/>
            <w:sz w:val="20"/>
          </w:rPr>
          <w:t xml:space="preserve">ABC News, “In Atlantic City, Beachgoers Talk Trump’s Legacy as Casino Owner,” 2016.</w:t>
        </w:r>
      </w:hyperlink>
      <w:r>
        <w:t xml:space="preserve"> </w:t>
      </w:r>
      <w:hyperlink r:id="rId24">
        <w:r>
          <w:rPr>
            <w:color w:val="214F70"/>
            <w:sz w:val="20"/>
          </w:rPr>
          <w:t xml:space="preserve">Trump Hotels &amp; Casino Resorts, Form 10-K filed in 2005, SEC EDGAR.</w:t>
        </w:r>
      </w:hyperlink>
      <w:r>
        <w:t xml:space="preserve"> Corporate debt, operations, ownership, and restructuring disclosures.</w:t>
      </w:r>
    </w:p>
    <w:p>
      <w:bookmarkStart w:id="18" w:name="note_2_7"/>
      <w:pPr>
        <w:pStyle w:val="SourceNote"/>
      </w:pPr>
      <w:bookmarkEnd w:id="18"/>
      <w:r>
        <w:rPr>
          <w:b/>
        </w:rPr>
        <w:t xml:space="preserve">2.7  </w:t>
      </w:r>
      <w:hyperlink r:id="rId12">
        <w:r>
          <w:rPr>
            <w:color w:val="214F70"/>
            <w:sz w:val="20"/>
          </w:rPr>
          <w:t xml:space="preserve">Miller Center, “Donald Trump: Family Life.”</w:t>
        </w:r>
      </w:hyperlink>
    </w:p>
    <w:p>
      <w:bookmarkStart w:id="19" w:name="note_2_8"/>
      <w:pPr>
        <w:pStyle w:val="SourceNote"/>
      </w:pPr>
      <w:bookmarkEnd w:id="19"/>
      <w:r>
        <w:rPr>
          <w:b/>
        </w:rPr>
        <w:t xml:space="preserve">2.8  </w:t>
      </w:r>
      <w:hyperlink r:id="rId14">
        <w:r>
          <w:rPr>
            <w:color w:val="214F70"/>
            <w:sz w:val="20"/>
          </w:rPr>
          <w:t xml:space="preserve">New York Times, investigation of Trump family wealth and tax arrangements, October 2, 2018 (archived copy).</w:t>
        </w:r>
      </w:hyperlink>
      <w:r>
        <w:t xml:space="preserve"> The $413 million figure is the reporters’ reconstruction in 2018 dollars. Trump’s lawyer disputed allegations of fraud and tax evasion; this was not a criminal judgment.</w:t>
      </w:r>
    </w:p>
    <w:p>
      <w:pPr>
        <w:pStyle w:val="Heading2"/>
      </w:pPr>
      <w:r>
        <w:t>Chapter 3</w:t>
      </w:r>
    </w:p>
    <w:p>
      <w:bookmarkStart w:id="20" w:name="note_3_1"/>
      <w:pPr>
        <w:pStyle w:val="SourceNote"/>
      </w:pPr>
      <w:bookmarkEnd w:id="20"/>
      <w:r>
        <w:rPr>
          <w:b/>
        </w:rPr>
        <w:t xml:space="preserve">3.1  </w:t>
      </w:r>
      <w:hyperlink r:id="rId27">
        <w:r>
          <w:rPr>
            <w:color w:val="214F70"/>
            <w:sz w:val="20"/>
          </w:rPr>
          <w:t xml:space="preserve">Associated Press, reporting on The Apprentice, its production, and Trump’s public image.</w:t>
        </w:r>
      </w:hyperlink>
    </w:p>
    <w:p>
      <w:bookmarkStart w:id="21" w:name="note_3_2"/>
      <w:pPr>
        <w:pStyle w:val="SourceNote"/>
      </w:pPr>
      <w:bookmarkEnd w:id="21"/>
      <w:r>
        <w:rPr>
          <w:b/>
        </w:rPr>
        <w:t xml:space="preserve">3.2  </w:t>
      </w:r>
      <w:hyperlink r:id="rId28">
        <w:r>
          <w:rPr>
            <w:color w:val="214F70"/>
            <w:sz w:val="20"/>
          </w:rPr>
          <w:t xml:space="preserve">Los Angeles Times, television ratings report, April 21, 2004.</w:t>
        </w:r>
      </w:hyperlink>
      <w:r>
        <w:t xml:space="preserve"> Source for the approximate 28-million-viewer first-season finale audience.</w:t>
      </w:r>
    </w:p>
    <w:p>
      <w:bookmarkStart w:id="22" w:name="note_3_3"/>
      <w:pPr>
        <w:pStyle w:val="SourceNote"/>
      </w:pPr>
      <w:bookmarkEnd w:id="22"/>
      <w:r>
        <w:rPr>
          <w:b/>
        </w:rPr>
        <w:t xml:space="preserve">3.3  </w:t>
      </w:r>
      <w:hyperlink r:id="rId29">
        <w:r>
          <w:rPr>
            <w:color w:val="214F70"/>
            <w:sz w:val="20"/>
          </w:rPr>
          <w:t xml:space="preserve">SEC, “SEC Brings First Pro Forma Financial Reporting Case,” January 16, 2002.</w:t>
        </w:r>
      </w:hyperlink>
      <w:r>
        <w:t xml:space="preserve"> </w:t>
      </w:r>
      <w:hyperlink r:id="rId30">
        <w:r>
          <w:rPr>
            <w:color w:val="214F70"/>
            <w:sz w:val="20"/>
          </w:rPr>
          <w:t xml:space="preserve">SEC, In the Matter of Trump Hotels &amp; Casino Resorts, Inc., Exchange Act Release No. 45287, January 16, 2002.</w:t>
        </w:r>
      </w:hyperlink>
      <w:r>
        <w:t xml:space="preserve"> Settled administrative proceeding; the company neither admitted nor denied the findings.</w:t>
      </w:r>
    </w:p>
    <w:p>
      <w:bookmarkStart w:id="23" w:name="note_3_4"/>
      <w:pPr>
        <w:pStyle w:val="SourceNote"/>
      </w:pPr>
      <w:bookmarkEnd w:id="23"/>
      <w:r>
        <w:rPr>
          <w:b/>
        </w:rPr>
        <w:t xml:space="preserve">3.4  </w:t>
      </w:r>
      <w:hyperlink r:id="rId31">
        <w:r>
          <w:rPr>
            <w:color w:val="214F70"/>
            <w:sz w:val="20"/>
          </w:rPr>
          <w:t xml:space="preserve">Low v. Trump University, order approving class settlement, March 31, 2017 (court order reproduced by Courthouse News).</w:t>
        </w:r>
      </w:hyperlink>
    </w:p>
    <w:p>
      <w:bookmarkStart w:id="24" w:name="note_3_5"/>
      <w:pPr>
        <w:pStyle w:val="SourceNote"/>
      </w:pPr>
      <w:bookmarkEnd w:id="24"/>
      <w:r>
        <w:rPr>
          <w:b/>
        </w:rPr>
        <w:t xml:space="preserve">3.5  </w:t>
      </w:r>
      <w:hyperlink r:id="rId32">
        <w:r>
          <w:rPr>
            <w:color w:val="214F70"/>
            <w:sz w:val="20"/>
          </w:rPr>
          <w:t xml:space="preserve">Associated Press, “Judge Trump criticized as ‘Mexican’ was born in Indiana,” June 7, 2016, via Portland Press Herald.</w:t>
        </w:r>
      </w:hyperlink>
      <w:r>
        <w:t xml:space="preserve"> </w:t>
      </w:r>
      <w:hyperlink r:id="rId31">
        <w:r>
          <w:rPr>
            <w:color w:val="214F70"/>
            <w:sz w:val="20"/>
          </w:rPr>
          <w:t xml:space="preserve">Low v. Trump University, order approving class settlement, March 31, 2017 (court order reproduced by Courthouse News).</w:t>
        </w:r>
      </w:hyperlink>
    </w:p>
    <w:p>
      <w:bookmarkStart w:id="25" w:name="note_3_6"/>
      <w:pPr>
        <w:pStyle w:val="SourceNote"/>
      </w:pPr>
      <w:bookmarkEnd w:id="25"/>
      <w:r>
        <w:rPr>
          <w:b/>
        </w:rPr>
        <w:t xml:space="preserve">3.6  </w:t>
      </w:r>
      <w:hyperlink r:id="rId33">
        <w:r>
          <w:rPr>
            <w:color w:val="214F70"/>
            <w:sz w:val="20"/>
          </w:rPr>
          <w:t xml:space="preserve">Courthouse News, “Trump Signs $25M Deal to Snuff Fraud Suits,” November 2016.</w:t>
        </w:r>
      </w:hyperlink>
      <w:r>
        <w:t xml:space="preserve"> </w:t>
      </w:r>
      <w:hyperlink r:id="rId34">
        <w:r>
          <w:rPr>
            <w:color w:val="214F70"/>
            <w:sz w:val="20"/>
          </w:rPr>
          <w:t xml:space="preserve">Simpson v. Trump University, Ninth Circuit, No. 17-55635, 2018 opinion.</w:t>
        </w:r>
      </w:hyperlink>
      <w:r>
        <w:t xml:space="preserve"> Addresses the settlement and objection; it is not a trial verdict on the consumer allegations.</w:t>
      </w:r>
    </w:p>
    <w:p>
      <w:bookmarkStart w:id="26" w:name="note_3_7"/>
      <w:pPr>
        <w:pStyle w:val="SourceNote"/>
      </w:pPr>
      <w:bookmarkEnd w:id="26"/>
      <w:r>
        <w:rPr>
          <w:b/>
        </w:rPr>
        <w:t xml:space="preserve">3.7  </w:t>
      </w:r>
      <w:hyperlink r:id="rId35">
        <w:r>
          <w:rPr>
            <w:color w:val="214F70"/>
            <w:sz w:val="20"/>
          </w:rPr>
          <w:t xml:space="preserve">Courthouse News, “Trump U Settled,” 2018.</w:t>
        </w:r>
      </w:hyperlink>
    </w:p>
    <w:p>
      <w:bookmarkStart w:id="27" w:name="note_3_8"/>
      <w:pPr>
        <w:pStyle w:val="SourceNote"/>
      </w:pPr>
      <w:bookmarkEnd w:id="27"/>
      <w:r>
        <w:rPr>
          <w:b/>
        </w:rPr>
        <w:t xml:space="preserve">3.8  </w:t>
      </w:r>
      <w:hyperlink r:id="rId25">
        <w:r>
          <w:rPr>
            <w:color w:val="214F70"/>
            <w:sz w:val="20"/>
          </w:rPr>
          <w:t xml:space="preserve">Trump Media &amp; Technology Group, 2024 Form 10-K filed in 2025, SEC EDGAR, risk disclosures concerning Donald Trump.</w:t>
        </w:r>
      </w:hyperlink>
      <w:r>
        <w:t xml:space="preserve"> Lists the earlier corporate bankruptcy proceedings; not a record of personal bankruptcy.</w:t>
      </w:r>
      <w:r>
        <w:t xml:space="preserve"> </w:t>
      </w:r>
      <w:hyperlink r:id="rId24">
        <w:r>
          <w:rPr>
            <w:color w:val="214F70"/>
            <w:sz w:val="20"/>
          </w:rPr>
          <w:t xml:space="preserve">Trump Hotels &amp; Casino Resorts, Form 10-K filed in 2005, SEC EDGAR.</w:t>
        </w:r>
      </w:hyperlink>
      <w:r>
        <w:t xml:space="preserve"> Corporate debt, operations, ownership, and restructuring disclosures.</w:t>
      </w:r>
    </w:p>
    <w:p>
      <w:bookmarkStart w:id="28" w:name="note_3_9"/>
      <w:pPr>
        <w:pStyle w:val="SourceNote"/>
      </w:pPr>
      <w:bookmarkEnd w:id="28"/>
      <w:r>
        <w:rPr>
          <w:b/>
        </w:rPr>
        <w:t xml:space="preserve">3.9  </w:t>
      </w:r>
      <w:hyperlink r:id="rId36">
        <w:r>
          <w:rPr>
            <w:color w:val="214F70"/>
            <w:sz w:val="20"/>
          </w:rPr>
          <w:t xml:space="preserve">UK Supreme Court, Trump International Golf Club Scotland Ltd v. Scottish Ministers, UKSC 2015/0160, judgment December 16, 2015.</w:t>
        </w:r>
      </w:hyperlink>
    </w:p>
    <w:p>
      <w:bookmarkStart w:id="29" w:name="note_3_10"/>
      <w:pPr>
        <w:pStyle w:val="SourceNote"/>
      </w:pPr>
      <w:bookmarkEnd w:id="29"/>
      <w:r>
        <w:rPr>
          <w:b/>
        </w:rPr>
        <w:t xml:space="preserve">3.10  </w:t>
      </w:r>
      <w:hyperlink r:id="rId12">
        <w:r>
          <w:rPr>
            <w:color w:val="214F70"/>
            <w:sz w:val="20"/>
          </w:rPr>
          <w:t xml:space="preserve">Miller Center, “Donald Trump: Family Life.”</w:t>
        </w:r>
      </w:hyperlink>
    </w:p>
    <w:p>
      <w:bookmarkStart w:id="30" w:name="note_3_11"/>
      <w:pPr>
        <w:pStyle w:val="SourceNote"/>
      </w:pPr>
      <w:bookmarkEnd w:id="30"/>
      <w:r>
        <w:rPr>
          <w:b/>
        </w:rPr>
        <w:t xml:space="preserve">3.11  </w:t>
      </w:r>
      <w:hyperlink r:id="rId37">
        <w:r>
          <w:rPr>
            <w:color w:val="214F70"/>
            <w:sz w:val="20"/>
          </w:rPr>
          <w:t xml:space="preserve">New York Attorney General, court order and agreed resolution concerning the Trump Foundation, November 2019.</w:t>
        </w:r>
      </w:hyperlink>
      <w:r>
        <w:t xml:space="preserve"> </w:t>
      </w:r>
      <w:hyperlink r:id="rId38">
        <w:r>
          <w:rPr>
            <w:color w:val="214F70"/>
            <w:sz w:val="20"/>
          </w:rPr>
          <w:t xml:space="preserve">New York Attorney General, “Donald J. Trump Pays Court-Ordered $2 Million,” December 10, 2019.</w:t>
        </w:r>
      </w:hyperlink>
      <w:r>
        <w:t xml:space="preserve"> Enforcement agency account; the associated stipulated facts distinguish this resolution from a no-admission settlement.</w:t>
      </w:r>
    </w:p>
    <w:p>
      <w:pPr>
        <w:pStyle w:val="Heading2"/>
      </w:pPr>
      <w:r>
        <w:t>Chapter 4</w:t>
      </w:r>
    </w:p>
    <w:p>
      <w:bookmarkStart w:id="31" w:name="note_4_1"/>
      <w:pPr>
        <w:pStyle w:val="SourceNote"/>
      </w:pPr>
      <w:bookmarkEnd w:id="31"/>
      <w:r>
        <w:rPr>
          <w:b/>
        </w:rPr>
        <w:t xml:space="preserve">4.1  </w:t>
      </w:r>
      <w:hyperlink r:id="rId12">
        <w:r>
          <w:rPr>
            <w:color w:val="214F70"/>
            <w:sz w:val="20"/>
          </w:rPr>
          <w:t xml:space="preserve">Miller Center, “Donald Trump: Family Life.”</w:t>
        </w:r>
      </w:hyperlink>
    </w:p>
    <w:p>
      <w:bookmarkStart w:id="32" w:name="note_4_2"/>
      <w:pPr>
        <w:pStyle w:val="SourceNote"/>
      </w:pPr>
      <w:bookmarkEnd w:id="32"/>
      <w:r>
        <w:rPr>
          <w:b/>
        </w:rPr>
        <w:t xml:space="preserve">4.2  </w:t>
      </w:r>
      <w:hyperlink r:id="rId39">
        <w:r>
          <w:rPr>
            <w:color w:val="214F70"/>
            <w:sz w:val="20"/>
          </w:rPr>
          <w:t xml:space="preserve">TheWrap, Trump’s recorded apology following release of the Access Hollywood recording, October 7–8, 2016.</w:t>
        </w:r>
      </w:hyperlink>
    </w:p>
    <w:p>
      <w:bookmarkStart w:id="33" w:name="note_4_3"/>
      <w:pPr>
        <w:pStyle w:val="SourceNote"/>
      </w:pPr>
      <w:bookmarkEnd w:id="33"/>
      <w:r>
        <w:rPr>
          <w:b/>
        </w:rPr>
        <w:t xml:space="preserve">4.3  </w:t>
      </w:r>
      <w:hyperlink r:id="rId40">
        <w:r>
          <w:rPr>
            <w:color w:val="214F70"/>
            <w:sz w:val="20"/>
          </w:rPr>
          <w:t xml:space="preserve">PBS NewsHour, “Trump faces civil trial in rape and defamation case brought by writer E. Jean Carroll,” April 2023.</w:t>
        </w:r>
      </w:hyperlink>
      <w:r>
        <w:t xml:space="preserve"> </w:t>
      </w:r>
      <w:hyperlink r:id="rId41">
        <w:r>
          <w:rPr>
            <w:color w:val="214F70"/>
            <w:sz w:val="20"/>
          </w:rPr>
          <w:t xml:space="preserve">ABC News, reporting on Trump’s denials of sexual-assault allegations, September 2024.</w:t>
        </w:r>
      </w:hyperlink>
    </w:p>
    <w:p>
      <w:bookmarkStart w:id="34" w:name="note_4_4"/>
      <w:pPr>
        <w:pStyle w:val="SourceNote"/>
      </w:pPr>
      <w:bookmarkEnd w:id="34"/>
      <w:r>
        <w:rPr>
          <w:b/>
        </w:rPr>
        <w:t xml:space="preserve">4.4  </w:t>
      </w:r>
      <w:hyperlink r:id="rId42">
        <w:r>
          <w:rPr>
            <w:color w:val="214F70"/>
            <w:sz w:val="20"/>
          </w:rPr>
          <w:t xml:space="preserve">Associated Press, reporting on testimony and evidence in Carroll’s 2023 civil trial.</w:t>
        </w:r>
      </w:hyperlink>
      <w:r>
        <w:t xml:space="preserve"> </w:t>
      </w:r>
      <w:hyperlink r:id="rId43">
        <w:r>
          <w:rPr>
            <w:color w:val="214F70"/>
            <w:sz w:val="20"/>
          </w:rPr>
          <w:t xml:space="preserve">Trump v. Carroll, petition and appendix, Supreme Court No. 25-573, filed November 10, 2025.</w:t>
        </w:r>
      </w:hyperlink>
      <w:r>
        <w:t xml:space="preserve"> The appendix reproduces judicial decisions; the petition itself presents the appellant’s arguments.</w:t>
      </w:r>
    </w:p>
    <w:p>
      <w:bookmarkStart w:id="35" w:name="note_4_5"/>
      <w:pPr>
        <w:pStyle w:val="SourceNote"/>
      </w:pPr>
      <w:bookmarkEnd w:id="35"/>
      <w:r>
        <w:rPr>
          <w:b/>
        </w:rPr>
        <w:t xml:space="preserve">4.5  </w:t>
      </w:r>
      <w:hyperlink r:id="rId44">
        <w:r>
          <w:rPr>
            <w:color w:val="214F70"/>
            <w:sz w:val="20"/>
          </w:rPr>
          <w:t xml:space="preserve">Reuters, “Former ‘Apprentice’ contestant Zervos abruptly ends lawsuit against Donald Trump,” November 12, 2021.</w:t>
        </w:r>
      </w:hyperlink>
      <w:r>
        <w:t xml:space="preserve"> Voluntary discontinuance, without compensation according to the reported statements; no merits verdict.</w:t>
      </w:r>
    </w:p>
    <w:p>
      <w:bookmarkStart w:id="36" w:name="note_4_6"/>
      <w:pPr>
        <w:pStyle w:val="SourceNote"/>
      </w:pPr>
      <w:bookmarkEnd w:id="36"/>
      <w:r>
        <w:rPr>
          <w:b/>
        </w:rPr>
        <w:t xml:space="preserve">4.6  </w:t>
      </w:r>
      <w:hyperlink r:id="rId43">
        <w:r>
          <w:rPr>
            <w:color w:val="214F70"/>
            <w:sz w:val="20"/>
          </w:rPr>
          <w:t xml:space="preserve">Trump v. Carroll, petition and appendix, Supreme Court No. 25-573, filed November 10, 2025.</w:t>
        </w:r>
      </w:hyperlink>
      <w:r>
        <w:t xml:space="preserve"> The appendix reproduces judicial decisions; the petition itself presents the appellant’s arguments.</w:t>
      </w:r>
    </w:p>
    <w:p>
      <w:bookmarkStart w:id="37" w:name="note_4_7"/>
      <w:pPr>
        <w:pStyle w:val="SourceNote"/>
      </w:pPr>
      <w:bookmarkEnd w:id="37"/>
      <w:r>
        <w:rPr>
          <w:b/>
        </w:rPr>
        <w:t xml:space="preserve">4.7  </w:t>
      </w:r>
      <w:hyperlink r:id="rId45">
        <w:r>
          <w:rPr>
            <w:color w:val="214F70"/>
            <w:sz w:val="20"/>
          </w:rPr>
          <w:t xml:space="preserve">Carroll v. Trump, S.D.N.Y., July 19, 2023 opinion, docket entry 212 (Justia reproduction).</w:t>
        </w:r>
      </w:hyperlink>
      <w:r>
        <w:t xml:space="preserve"> Explains the verdict and the distinction between the then-applicable statutory definition of rape and ordinary usage.</w:t>
      </w:r>
      <w:r>
        <w:t xml:space="preserve"> </w:t>
      </w:r>
      <w:hyperlink r:id="rId43">
        <w:r>
          <w:rPr>
            <w:color w:val="214F70"/>
            <w:sz w:val="20"/>
          </w:rPr>
          <w:t xml:space="preserve">Trump v. Carroll, petition and appendix, Supreme Court No. 25-573, filed November 10, 2025.</w:t>
        </w:r>
      </w:hyperlink>
      <w:r>
        <w:t xml:space="preserve"> The appendix reproduces judicial decisions; the petition itself presents the appellant’s arguments.</w:t>
      </w:r>
    </w:p>
    <w:p>
      <w:bookmarkStart w:id="38" w:name="note_4_8"/>
      <w:pPr>
        <w:pStyle w:val="SourceNote"/>
      </w:pPr>
      <w:bookmarkEnd w:id="38"/>
      <w:r>
        <w:rPr>
          <w:b/>
        </w:rPr>
        <w:t xml:space="preserve">4.8  </w:t>
      </w:r>
      <w:hyperlink r:id="rId45">
        <w:r>
          <w:rPr>
            <w:color w:val="214F70"/>
            <w:sz w:val="20"/>
          </w:rPr>
          <w:t xml:space="preserve">Carroll v. Trump, S.D.N.Y., July 19, 2023 opinion, docket entry 212 (Justia reproduction).</w:t>
        </w:r>
      </w:hyperlink>
      <w:r>
        <w:t xml:space="preserve"> Explains the verdict and the distinction between the then-applicable statutory definition of rape and ordinary usage.</w:t>
      </w:r>
    </w:p>
    <w:p>
      <w:bookmarkStart w:id="39" w:name="note_4_9"/>
      <w:pPr>
        <w:pStyle w:val="SourceNote"/>
      </w:pPr>
      <w:bookmarkEnd w:id="39"/>
      <w:r>
        <w:rPr>
          <w:b/>
        </w:rPr>
        <w:t xml:space="preserve">4.9  </w:t>
      </w:r>
      <w:hyperlink r:id="rId46">
        <w:r>
          <w:rPr>
            <w:color w:val="214F70"/>
            <w:sz w:val="20"/>
          </w:rPr>
          <w:t xml:space="preserve">Supreme Court docket, Trump v. Carroll, No. 25-573.</w:t>
        </w:r>
      </w:hyperlink>
      <w:r>
        <w:t xml:space="preserve"> Review denied June 29, 2026; rehearing denied August 17, 2026. Docket checked through the manuscript cutoff.</w:t>
      </w:r>
      <w:r>
        <w:t xml:space="preserve"> </w:t>
      </w:r>
      <w:hyperlink r:id="rId43">
        <w:r>
          <w:rPr>
            <w:color w:val="214F70"/>
            <w:sz w:val="20"/>
          </w:rPr>
          <w:t xml:space="preserve">Trump v. Carroll, petition and appendix, Supreme Court No. 25-573, filed November 10, 2025.</w:t>
        </w:r>
      </w:hyperlink>
      <w:r>
        <w:t xml:space="preserve"> The appendix reproduces judicial decisions; the petition itself presents the appellant’s arguments.</w:t>
      </w:r>
    </w:p>
    <w:p>
      <w:bookmarkStart w:id="40" w:name="note_4_10"/>
      <w:pPr>
        <w:pStyle w:val="SourceNote"/>
      </w:pPr>
      <w:bookmarkEnd w:id="40"/>
      <w:r>
        <w:rPr>
          <w:b/>
        </w:rPr>
        <w:t xml:space="preserve">4.10  </w:t>
      </w:r>
      <w:hyperlink r:id="rId47">
        <w:r>
          <w:rPr>
            <w:color w:val="214F70"/>
            <w:sz w:val="20"/>
          </w:rPr>
          <w:t xml:space="preserve">ABC News, “Supreme Court rejects final Trump appeal of $5 million [judgment],” August 2026.</w:t>
        </w:r>
      </w:hyperlink>
      <w:r>
        <w:t xml:space="preserve"> Reports the July payment, including interest. Payment and the conclusion of appellate review are separate events.</w:t>
      </w:r>
      <w:r>
        <w:t xml:space="preserve"> </w:t>
      </w:r>
      <w:hyperlink r:id="rId48">
        <w:r>
          <w:rPr>
            <w:color w:val="214F70"/>
            <w:sz w:val="20"/>
          </w:rPr>
          <w:t xml:space="preserve">ABC News, reporting on the order releasing funds for Carroll’s $5 million judgment, July 2026.</w:t>
        </w:r>
      </w:hyperlink>
    </w:p>
    <w:p>
      <w:bookmarkStart w:id="41" w:name="note_4_11"/>
      <w:pPr>
        <w:pStyle w:val="SourceNote"/>
      </w:pPr>
      <w:bookmarkEnd w:id="41"/>
      <w:r>
        <w:rPr>
          <w:b/>
        </w:rPr>
        <w:t xml:space="preserve">4.11  </w:t>
      </w:r>
      <w:hyperlink r:id="rId49">
        <w:r>
          <w:rPr>
            <w:color w:val="214F70"/>
            <w:sz w:val="20"/>
          </w:rPr>
          <w:t xml:space="preserve">Associated Press, Second Circuit upholds $83.3 million Carroll defamation award, September 8, 2025.</w:t>
        </w:r>
      </w:hyperlink>
      <w:r>
        <w:t xml:space="preserve"> </w:t>
      </w:r>
      <w:hyperlink r:id="rId50">
        <w:r>
          <w:rPr>
            <w:color w:val="214F70"/>
            <w:sz w:val="20"/>
          </w:rPr>
          <w:t xml:space="preserve">Trump v. Carroll, petition for certiorari, Supreme Court No. 26-141, July 28, 2026.</w:t>
        </w:r>
      </w:hyperlink>
      <w:r>
        <w:t xml:space="preserve"> The petition is advocacy; appended orders document the earlier proceedings.</w:t>
      </w:r>
    </w:p>
    <w:p>
      <w:bookmarkStart w:id="42" w:name="note_4_12"/>
      <w:pPr>
        <w:pStyle w:val="SourceNote"/>
      </w:pPr>
      <w:bookmarkEnd w:id="42"/>
      <w:r>
        <w:rPr>
          <w:b/>
        </w:rPr>
        <w:t xml:space="preserve">4.12  </w:t>
      </w:r>
      <w:hyperlink r:id="rId51">
        <w:r>
          <w:rPr>
            <w:color w:val="214F70"/>
            <w:sz w:val="20"/>
          </w:rPr>
          <w:t xml:space="preserve">Supreme Court docket, Trump v. Carroll, No. 26-141.</w:t>
        </w:r>
      </w:hyperlink>
      <w:r>
        <w:t xml:space="preserve"> Petition pending at October 20, 2026; the docket listed an October 30 response deadline. No future ruling is assumed.</w:t>
      </w:r>
    </w:p>
    <w:p>
      <w:bookmarkStart w:id="43" w:name="note_4_13"/>
      <w:pPr>
        <w:pStyle w:val="SourceNote"/>
      </w:pPr>
      <w:bookmarkEnd w:id="43"/>
      <w:r>
        <w:rPr>
          <w:b/>
        </w:rPr>
        <w:t xml:space="preserve">4.13  </w:t>
      </w:r>
      <w:hyperlink r:id="rId52">
        <w:r>
          <w:rPr>
            <w:color w:val="214F70"/>
            <w:sz w:val="20"/>
          </w:rPr>
          <w:t xml:space="preserve">PBS NewsHour, “Appeals court says Trump doesn’t have to pay $83 million to E. Jean Carroll for now,” May 2026.</w:t>
        </w:r>
      </w:hyperlink>
      <w:r>
        <w:t xml:space="preserve"> A stay and security are not payment or vacatur.</w:t>
      </w:r>
    </w:p>
    <w:p>
      <w:bookmarkStart w:id="44" w:name="note_4_14"/>
      <w:pPr>
        <w:pStyle w:val="SourceNote"/>
      </w:pPr>
      <w:bookmarkEnd w:id="44"/>
      <w:r>
        <w:rPr>
          <w:b/>
        </w:rPr>
        <w:t xml:space="preserve">4.14  </w:t>
      </w:r>
      <w:hyperlink r:id="rId53">
        <w:r>
          <w:rPr>
            <w:color w:val="214F70"/>
            <w:sz w:val="20"/>
          </w:rPr>
          <w:t xml:space="preserve">U.S. Solicitor General, petition concerning substitution and presidential statements in the Carroll litigation, 2026.</w:t>
        </w:r>
      </w:hyperlink>
      <w:r>
        <w:t xml:space="preserve"> Cited for the government’s legal position, not as a court’s acceptance of it.</w:t>
      </w:r>
    </w:p>
    <w:p>
      <w:bookmarkStart w:id="45" w:name="note_4_15"/>
      <w:pPr>
        <w:pStyle w:val="SourceNote"/>
      </w:pPr>
      <w:bookmarkEnd w:id="45"/>
      <w:r>
        <w:rPr>
          <w:b/>
        </w:rPr>
        <w:t xml:space="preserve">4.15  </w:t>
      </w:r>
      <w:hyperlink r:id="rId54">
        <w:r>
          <w:rPr>
            <w:color w:val="214F70"/>
            <w:sz w:val="20"/>
          </w:rPr>
          <w:t xml:space="preserve">U.S. Attorney, S.D.N.Y., Michael Cohen guilty plea announcement, August 21, 2018.</w:t>
        </w:r>
      </w:hyperlink>
      <w:r>
        <w:t xml:space="preserve"> </w:t>
      </w:r>
      <w:hyperlink r:id="rId55">
        <w:r>
          <w:rPr>
            <w:color w:val="214F70"/>
            <w:sz w:val="20"/>
          </w:rPr>
          <w:t xml:space="preserve">Manhattan District Attorney, 34-count trial conviction of Donald J. Trump, May 30, 2024.</w:t>
        </w:r>
      </w:hyperlink>
      <w:r>
        <w:t xml:space="preserve"> Prosecutor’s announcement of the actual jury verdict; advocacy concerning the case is not treated as an additional finding.</w:t>
      </w:r>
    </w:p>
    <w:p>
      <w:pPr>
        <w:pStyle w:val="Heading2"/>
      </w:pPr>
      <w:r>
        <w:t>Chapter 5</w:t>
      </w:r>
    </w:p>
    <w:p>
      <w:bookmarkStart w:id="46" w:name="note_5_1"/>
      <w:pPr>
        <w:pStyle w:val="SourceNote"/>
      </w:pPr>
      <w:bookmarkEnd w:id="46"/>
      <w:r>
        <w:rPr>
          <w:b/>
        </w:rPr>
        <w:t xml:space="preserve">5.1  </w:t>
      </w:r>
      <w:hyperlink r:id="rId56">
        <w:r>
          <w:rPr>
            <w:color w:val="214F70"/>
            <w:sz w:val="20"/>
          </w:rPr>
          <w:t xml:space="preserve">Obama White House, “President Obama’s Long Form Birth Certificate,” April 27, 2011.</w:t>
        </w:r>
      </w:hyperlink>
    </w:p>
    <w:p>
      <w:bookmarkStart w:id="47" w:name="note_5_2"/>
      <w:pPr>
        <w:pStyle w:val="SourceNote"/>
      </w:pPr>
      <w:bookmarkEnd w:id="47"/>
      <w:r>
        <w:rPr>
          <w:b/>
        </w:rPr>
        <w:t xml:space="preserve">5.2  </w:t>
      </w:r>
      <w:hyperlink r:id="rId57">
        <w:r>
          <w:rPr>
            <w:color w:val="214F70"/>
            <w:sz w:val="20"/>
          </w:rPr>
          <w:t xml:space="preserve">Donald Trump, presidential announcement speech, June 16, 2015, transcript at Democracy in Action.</w:t>
        </w:r>
      </w:hyperlink>
      <w:r>
        <w:t xml:space="preserve"> </w:t>
      </w:r>
      <w:hyperlink r:id="rId58">
        <w:r>
          <w:rPr>
            <w:color w:val="214F70"/>
            <w:sz w:val="20"/>
          </w:rPr>
          <w:t xml:space="preserve">Trump campaign announcement release, June 16, 2015, American Presidency Project.</w:t>
        </w:r>
      </w:hyperlink>
    </w:p>
    <w:p>
      <w:bookmarkStart w:id="48" w:name="note_5_3"/>
      <w:pPr>
        <w:pStyle w:val="SourceNote"/>
      </w:pPr>
      <w:bookmarkEnd w:id="48"/>
      <w:r>
        <w:rPr>
          <w:b/>
        </w:rPr>
        <w:t xml:space="preserve">5.3  </w:t>
      </w:r>
      <w:hyperlink r:id="rId59">
        <w:r>
          <w:rPr>
            <w:color w:val="214F70"/>
            <w:sz w:val="20"/>
          </w:rPr>
          <w:t xml:space="preserve">Justice Department Inspector General, Review of Four FISA Applications and Other Aspects of the FBI’s Crossfire Hurricane Investigation, executive summary, December 2019.</w:t>
        </w:r>
      </w:hyperlink>
    </w:p>
    <w:p>
      <w:bookmarkStart w:id="49" w:name="note_5_4"/>
      <w:pPr>
        <w:pStyle w:val="SourceNote"/>
      </w:pPr>
      <w:bookmarkEnd w:id="49"/>
      <w:r>
        <w:rPr>
          <w:b/>
        </w:rPr>
        <w:t xml:space="preserve">5.4  </w:t>
      </w:r>
      <w:hyperlink r:id="rId60">
        <w:r>
          <w:rPr>
            <w:color w:val="214F70"/>
            <w:sz w:val="20"/>
          </w:rPr>
          <w:t xml:space="preserve">Justice Department Inspector General, FBI reports archive.</w:t>
        </w:r>
      </w:hyperlink>
      <w:r>
        <w:t xml:space="preserve"> Contains the full December 2019 review and related material.</w:t>
      </w:r>
    </w:p>
    <w:p>
      <w:bookmarkStart w:id="50" w:name="note_5_5"/>
      <w:pPr>
        <w:pStyle w:val="SourceNote"/>
      </w:pPr>
      <w:bookmarkEnd w:id="50"/>
      <w:r>
        <w:rPr>
          <w:b/>
        </w:rPr>
        <w:t xml:space="preserve">5.5  </w:t>
      </w:r>
      <w:hyperlink r:id="rId61">
        <w:r>
          <w:rPr>
            <w:color w:val="214F70"/>
            <w:sz w:val="20"/>
          </w:rPr>
          <w:t xml:space="preserve">Special Counsel John Durham, Report on Matters Related to Intelligence Activities and Investigations Arising Out of the 2016 Presidential Campaigns, May 2023.</w:t>
        </w:r>
      </w:hyperlink>
    </w:p>
    <w:p>
      <w:bookmarkStart w:id="51" w:name="note_5_6"/>
      <w:pPr>
        <w:pStyle w:val="SourceNote"/>
      </w:pPr>
      <w:bookmarkEnd w:id="51"/>
      <w:r>
        <w:rPr>
          <w:b/>
        </w:rPr>
        <w:t xml:space="preserve">5.6  </w:t>
      </w:r>
      <w:hyperlink r:id="rId62">
        <w:r>
          <w:rPr>
            <w:color w:val="214F70"/>
            <w:sz w:val="20"/>
          </w:rPr>
          <w:t xml:space="preserve">Senate Intelligence Committee, Russian Active Measures, volume 5, 2020.</w:t>
        </w:r>
      </w:hyperlink>
      <w:r>
        <w:t xml:space="preserve"> </w:t>
      </w:r>
      <w:hyperlink r:id="rId63">
        <w:r>
          <w:rPr>
            <w:color w:val="214F70"/>
            <w:sz w:val="20"/>
          </w:rPr>
          <w:t xml:space="preserve">Senator Marco Rubio, statement on Senate Intelligence Committee volume 5, August 18, 2020.</w:t>
        </w:r>
      </w:hyperlink>
      <w:r>
        <w:t xml:space="preserve"> An official’s interpretation of the committee record.</w:t>
      </w:r>
    </w:p>
    <w:p>
      <w:bookmarkStart w:id="52" w:name="note_5_7"/>
      <w:pPr>
        <w:pStyle w:val="SourceNote"/>
      </w:pPr>
      <w:bookmarkEnd w:id="52"/>
      <w:r>
        <w:rPr>
          <w:b/>
        </w:rPr>
        <w:t xml:space="preserve">5.7  </w:t>
      </w:r>
      <w:hyperlink r:id="rId64">
        <w:r>
          <w:rPr>
            <w:color w:val="214F70"/>
            <w:sz w:val="20"/>
          </w:rPr>
          <w:t xml:space="preserve">Federal Election Commission, Matter Under Review 7324, American Media and related parties.</w:t>
        </w:r>
      </w:hyperlink>
      <w:r>
        <w:t xml:space="preserve"> </w:t>
      </w:r>
      <w:hyperlink r:id="rId65">
        <w:r>
          <w:rPr>
            <w:color w:val="214F70"/>
            <w:sz w:val="20"/>
          </w:rPr>
          <w:t xml:space="preserve">Federal Election Commission, Matter Under Review 7366.</w:t>
        </w:r>
      </w:hyperlink>
    </w:p>
    <w:p>
      <w:bookmarkStart w:id="53" w:name="note_5_8"/>
      <w:pPr>
        <w:pStyle w:val="SourceNote"/>
      </w:pPr>
      <w:bookmarkEnd w:id="53"/>
      <w:r>
        <w:rPr>
          <w:b/>
        </w:rPr>
        <w:t xml:space="preserve">5.8  </w:t>
      </w:r>
      <w:hyperlink r:id="rId54">
        <w:r>
          <w:rPr>
            <w:color w:val="214F70"/>
            <w:sz w:val="20"/>
          </w:rPr>
          <w:t xml:space="preserve">U.S. Attorney, S.D.N.Y., Michael Cohen guilty plea announcement, August 21, 2018.</w:t>
        </w:r>
      </w:hyperlink>
      <w:r>
        <w:t xml:space="preserve"> </w:t>
      </w:r>
      <w:hyperlink r:id="rId66">
        <w:r>
          <w:rPr>
            <w:color w:val="214F70"/>
            <w:sz w:val="20"/>
          </w:rPr>
          <w:t xml:space="preserve">United States v. Michael Cohen, criminal information, August 21, 2018.</w:t>
        </w:r>
      </w:hyperlink>
    </w:p>
    <w:p>
      <w:bookmarkStart w:id="54" w:name="note_5_9"/>
      <w:pPr>
        <w:pStyle w:val="SourceNote"/>
      </w:pPr>
      <w:bookmarkEnd w:id="54"/>
      <w:r>
        <w:rPr>
          <w:b/>
        </w:rPr>
        <w:t xml:space="preserve">5.9  </w:t>
      </w:r>
      <w:hyperlink r:id="rId55">
        <w:r>
          <w:rPr>
            <w:color w:val="214F70"/>
            <w:sz w:val="20"/>
          </w:rPr>
          <w:t xml:space="preserve">Manhattan District Attorney, 34-count trial conviction of Donald J. Trump, May 30, 2024.</w:t>
        </w:r>
      </w:hyperlink>
      <w:r>
        <w:t xml:space="preserve"> Prosecutor’s announcement of the actual jury verdict; advocacy concerning the case is not treated as an additional finding.</w:t>
      </w:r>
    </w:p>
    <w:p>
      <w:bookmarkStart w:id="55" w:name="note_5_10"/>
      <w:pPr>
        <w:pStyle w:val="SourceNote"/>
      </w:pPr>
      <w:bookmarkEnd w:id="55"/>
      <w:r>
        <w:rPr>
          <w:b/>
        </w:rPr>
        <w:t xml:space="preserve">5.10  </w:t>
      </w:r>
      <w:hyperlink r:id="rId67">
        <w:r>
          <w:rPr>
            <w:color w:val="214F70"/>
            <w:sz w:val="20"/>
          </w:rPr>
          <w:t xml:space="preserve">Federal Election Commission, Federal Elections 2016, final popular-vote compilation.</w:t>
        </w:r>
      </w:hyperlink>
    </w:p>
    <w:p>
      <w:bookmarkStart w:id="56" w:name="note_5_11"/>
      <w:pPr>
        <w:pStyle w:val="SourceNote"/>
      </w:pPr>
      <w:bookmarkEnd w:id="56"/>
      <w:r>
        <w:rPr>
          <w:b/>
        </w:rPr>
        <w:t xml:space="preserve">5.11  </w:t>
      </w:r>
      <w:hyperlink r:id="rId68">
        <w:r>
          <w:rPr>
            <w:color w:val="214F70"/>
            <w:sz w:val="20"/>
          </w:rPr>
          <w:t xml:space="preserve">National Archives, 2016 Electoral College Results.</w:t>
        </w:r>
      </w:hyperlink>
      <w:r>
        <w:t xml:space="preserve"> Distinguishes actual electoral votes cast from the election-night allocation before faithless electors.</w:t>
      </w:r>
    </w:p>
    <w:p>
      <w:pPr>
        <w:pStyle w:val="Heading2"/>
      </w:pPr>
      <w:r>
        <w:t>Chapter 6</w:t>
      </w:r>
    </w:p>
    <w:p>
      <w:bookmarkStart w:id="57" w:name="note_6_1"/>
      <w:pPr>
        <w:pStyle w:val="SourceNote"/>
      </w:pPr>
      <w:bookmarkEnd w:id="57"/>
      <w:r>
        <w:rPr>
          <w:b/>
        </w:rPr>
        <w:t xml:space="preserve">6.1  </w:t>
      </w:r>
      <w:hyperlink r:id="rId69">
        <w:r>
          <w:rPr>
            <w:color w:val="214F70"/>
            <w:sz w:val="20"/>
          </w:rPr>
          <w:t xml:space="preserve">Trump v. Hawaii, Supreme Court, June 26, 2018.</w:t>
        </w:r>
      </w:hyperlink>
    </w:p>
    <w:p>
      <w:bookmarkStart w:id="58" w:name="note_6_2"/>
      <w:pPr>
        <w:pStyle w:val="SourceNote"/>
      </w:pPr>
      <w:bookmarkEnd w:id="58"/>
      <w:r>
        <w:rPr>
          <w:b/>
        </w:rPr>
        <w:t xml:space="preserve">6.2  </w:t>
      </w:r>
      <w:hyperlink r:id="rId70">
        <w:r>
          <w:rPr>
            <w:color w:val="214F70"/>
            <w:sz w:val="20"/>
          </w:rPr>
          <w:t xml:space="preserve">Senator James Lankford, statement on Senate health-care repeal vote, July 28, 2017.</w:t>
        </w:r>
      </w:hyperlink>
      <w:r>
        <w:t xml:space="preserve"> Records the 49–51 result; the policy arguments are those of a supporter of repeal.</w:t>
      </w:r>
      <w:r>
        <w:t xml:space="preserve"> </w:t>
      </w:r>
      <w:hyperlink r:id="rId71">
        <w:r>
          <w:rPr>
            <w:color w:val="214F70"/>
            <w:sz w:val="20"/>
          </w:rPr>
          <w:t xml:space="preserve">Public Law 115-97, December 22, 2017.</w:t>
        </w:r>
      </w:hyperlink>
    </w:p>
    <w:p>
      <w:bookmarkStart w:id="59" w:name="note_6_3"/>
      <w:pPr>
        <w:pStyle w:val="SourceNote"/>
      </w:pPr>
      <w:bookmarkEnd w:id="59"/>
      <w:r>
        <w:rPr>
          <w:b/>
        </w:rPr>
        <w:t xml:space="preserve">6.3  </w:t>
      </w:r>
      <w:hyperlink r:id="rId71">
        <w:r>
          <w:rPr>
            <w:color w:val="214F70"/>
            <w:sz w:val="20"/>
          </w:rPr>
          <w:t xml:space="preserve">Public Law 115-97, December 22, 2017.</w:t>
        </w:r>
      </w:hyperlink>
    </w:p>
    <w:p>
      <w:bookmarkStart w:id="60" w:name="note_6_4"/>
      <w:pPr>
        <w:pStyle w:val="SourceNote"/>
      </w:pPr>
      <w:bookmarkEnd w:id="60"/>
      <w:r>
        <w:rPr>
          <w:b/>
        </w:rPr>
        <w:t xml:space="preserve">6.4  </w:t>
      </w:r>
      <w:hyperlink r:id="rId72">
        <w:r>
          <w:rPr>
            <w:color w:val="214F70"/>
            <w:sz w:val="20"/>
          </w:rPr>
          <w:t xml:space="preserve">Congressional Budget Office, The Budget and Economic Outlook: 2018 to 2028, April 2018.</w:t>
        </w:r>
      </w:hyperlink>
      <w:r>
        <w:t xml:space="preserve"> Projected effects depend on the specified baseline and window.</w:t>
      </w:r>
      <w:r>
        <w:t xml:space="preserve"> </w:t>
      </w:r>
      <w:hyperlink r:id="rId73">
        <w:r>
          <w:rPr>
            <w:color w:val="214F70"/>
            <w:sz w:val="20"/>
          </w:rPr>
          <w:t xml:space="preserve">Keith Hall, Congressional Budget Office, “How the 2017 Tax Act Has Affected CBO’s GDP and Budget Projections Since January 2017,” February 28, 2019.</w:t>
        </w:r>
      </w:hyperlink>
    </w:p>
    <w:p>
      <w:bookmarkStart w:id="61" w:name="note_6_5"/>
      <w:pPr>
        <w:pStyle w:val="SourceNote"/>
      </w:pPr>
      <w:bookmarkEnd w:id="61"/>
      <w:r>
        <w:rPr>
          <w:b/>
        </w:rPr>
        <w:t xml:space="preserve">6.5  </w:t>
      </w:r>
      <w:hyperlink r:id="rId74">
        <w:r>
          <w:rPr>
            <w:color w:val="214F70"/>
            <w:sz w:val="20"/>
          </w:rPr>
          <w:t xml:space="preserve">Bureau of Labor Statistics, Employment Situation—December 2019, released January 10, 2020.</w:t>
        </w:r>
      </w:hyperlink>
      <w:r>
        <w:t xml:space="preserve"> Historical release vintage, not a claim that later revisions were unchanged.</w:t>
      </w:r>
    </w:p>
    <w:p>
      <w:bookmarkStart w:id="62" w:name="note_6_6"/>
      <w:pPr>
        <w:pStyle w:val="SourceNote"/>
      </w:pPr>
      <w:bookmarkEnd w:id="62"/>
      <w:r>
        <w:rPr>
          <w:b/>
        </w:rPr>
        <w:t xml:space="preserve">6.6  </w:t>
      </w:r>
      <w:hyperlink r:id="rId75">
        <w:r>
          <w:rPr>
            <w:color w:val="214F70"/>
            <w:sz w:val="20"/>
          </w:rPr>
          <w:t xml:space="preserve">Bureau of Economic Analysis, fourth-quarter and annual 2019 GDP advance estimate, January 30, 2020.</w:t>
        </w:r>
      </w:hyperlink>
      <w:r>
        <w:t xml:space="preserve"> Annual growth figures in the narrative use this release’s vintage.</w:t>
      </w:r>
    </w:p>
    <w:p>
      <w:bookmarkStart w:id="63" w:name="note_6_7"/>
      <w:pPr>
        <w:pStyle w:val="SourceNote"/>
      </w:pPr>
      <w:bookmarkEnd w:id="63"/>
      <w:r>
        <w:rPr>
          <w:b/>
        </w:rPr>
        <w:t xml:space="preserve">6.7  </w:t>
      </w:r>
      <w:hyperlink r:id="rId76">
        <w:r>
          <w:rPr>
            <w:color w:val="214F70"/>
            <w:sz w:val="20"/>
          </w:rPr>
          <w:t xml:space="preserve">Census Bureau, “Income, Poverty and Health Insurance Coverage in the United States: 2019,” September 2020.</w:t>
        </w:r>
      </w:hyperlink>
      <w:r>
        <w:t xml:space="preserve"> Includes the survey-collection/nonresponse qualification.</w:t>
      </w:r>
    </w:p>
    <w:p>
      <w:bookmarkStart w:id="64" w:name="note_6_8"/>
      <w:pPr>
        <w:pStyle w:val="SourceNote"/>
      </w:pPr>
      <w:bookmarkEnd w:id="64"/>
      <w:r>
        <w:rPr>
          <w:b/>
        </w:rPr>
        <w:t xml:space="preserve">6.8  </w:t>
      </w:r>
      <w:hyperlink r:id="rId77">
        <w:r>
          <w:rPr>
            <w:color w:val="214F70"/>
            <w:sz w:val="20"/>
          </w:rPr>
          <w:t xml:space="preserve">U.S. International Trade Commission, Economic Impact of Section 232 and 301 Tariffs on U.S. Industries, Publication 5405, March 2023.</w:t>
        </w:r>
      </w:hyperlink>
      <w:r>
        <w:t xml:space="preserve"> Study window 2018–2021; not a comprehensive estimate of every economy-wide effect.</w:t>
      </w:r>
      <w:r>
        <w:t xml:space="preserve"> </w:t>
      </w:r>
      <w:hyperlink r:id="rId78">
        <w:r>
          <w:rPr>
            <w:color w:val="214F70"/>
            <w:sz w:val="20"/>
          </w:rPr>
          <w:t xml:space="preserve">USITC, release announcing tariff-impact report, March 15, 2023.</w:t>
        </w:r>
      </w:hyperlink>
    </w:p>
    <w:p>
      <w:bookmarkStart w:id="65" w:name="note_6_9"/>
      <w:pPr>
        <w:pStyle w:val="SourceNote"/>
      </w:pPr>
      <w:bookmarkEnd w:id="65"/>
      <w:r>
        <w:rPr>
          <w:b/>
        </w:rPr>
        <w:t xml:space="preserve">6.9  </w:t>
      </w:r>
      <w:hyperlink r:id="rId79">
        <w:r>
          <w:rPr>
            <w:color w:val="214F70"/>
            <w:sz w:val="20"/>
          </w:rPr>
          <w:t xml:space="preserve">U.S. Trade Representative, United States–Mexico–Canada Agreement.</w:t>
        </w:r>
      </w:hyperlink>
    </w:p>
    <w:p>
      <w:bookmarkStart w:id="66" w:name="note_6_10"/>
      <w:pPr>
        <w:pStyle w:val="SourceNote"/>
      </w:pPr>
      <w:bookmarkEnd w:id="66"/>
      <w:r>
        <w:rPr>
          <w:b/>
        </w:rPr>
        <w:t xml:space="preserve">6.10  </w:t>
      </w:r>
      <w:hyperlink r:id="rId80">
        <w:r>
          <w:rPr>
            <w:color w:val="214F70"/>
            <w:sz w:val="20"/>
          </w:rPr>
          <w:t xml:space="preserve">Acting CBP Commissioner Mark Morgan, Senate testimony, November 13, 2019.</w:t>
        </w:r>
      </w:hyperlink>
    </w:p>
    <w:p>
      <w:bookmarkStart w:id="67" w:name="note_6_11"/>
      <w:pPr>
        <w:pStyle w:val="SourceNote"/>
      </w:pPr>
      <w:bookmarkEnd w:id="67"/>
      <w:r>
        <w:rPr>
          <w:b/>
        </w:rPr>
        <w:t xml:space="preserve">6.11  </w:t>
      </w:r>
      <w:hyperlink r:id="rId81">
        <w:r>
          <w:rPr>
            <w:color w:val="214F70"/>
            <w:sz w:val="20"/>
          </w:rPr>
          <w:t xml:space="preserve">GAO, Unaccompanied Children: Agency Efforts to Reunify Children Separated from Parents at the Border, GAO-19-163.</w:t>
        </w:r>
      </w:hyperlink>
      <w:r>
        <w:t xml:space="preserve"> </w:t>
      </w:r>
      <w:hyperlink r:id="rId82">
        <w:r>
          <w:rPr>
            <w:color w:val="214F70"/>
            <w:sz w:val="20"/>
          </w:rPr>
          <w:t xml:space="preserve">GAO, Southwest Border: Actions Needed to Improve DHS Processing of Families and Coordination between DHS and HHS, GAO-20-245, February 2020.</w:t>
        </w:r>
      </w:hyperlink>
    </w:p>
    <w:p>
      <w:bookmarkStart w:id="68" w:name="note_6_12"/>
      <w:pPr>
        <w:pStyle w:val="SourceNote"/>
      </w:pPr>
      <w:bookmarkEnd w:id="68"/>
      <w:r>
        <w:rPr>
          <w:b/>
        </w:rPr>
        <w:t xml:space="preserve">6.12  </w:t>
      </w:r>
      <w:hyperlink r:id="rId83">
        <w:r>
          <w:rPr>
            <w:color w:val="214F70"/>
            <w:sz w:val="20"/>
          </w:rPr>
          <w:t xml:space="preserve">Energy Information Administration, U.S. energy facts: imports and exports.</w:t>
        </w:r>
      </w:hyperlink>
    </w:p>
    <w:p>
      <w:bookmarkStart w:id="69" w:name="note_6_13"/>
      <w:pPr>
        <w:pStyle w:val="SourceNote"/>
      </w:pPr>
      <w:bookmarkEnd w:id="69"/>
      <w:r>
        <w:rPr>
          <w:b/>
        </w:rPr>
        <w:t xml:space="preserve">6.13  </w:t>
      </w:r>
      <w:hyperlink r:id="rId84">
        <w:r>
          <w:rPr>
            <w:color w:val="214F70"/>
            <w:sz w:val="20"/>
          </w:rPr>
          <w:t xml:space="preserve">U.S. Department of State, United States National Statement at UNFCCC COP25, 2019.</w:t>
        </w:r>
      </w:hyperlink>
      <w:r>
        <w:t xml:space="preserve"> Specifies November 4, 2020 as the effective withdrawal date; also states the administration’s policy rationale.</w:t>
      </w:r>
    </w:p>
    <w:p>
      <w:bookmarkStart w:id="70" w:name="note_6_14"/>
      <w:pPr>
        <w:pStyle w:val="SourceNote"/>
      </w:pPr>
      <w:bookmarkEnd w:id="70"/>
      <w:r>
        <w:rPr>
          <w:b/>
        </w:rPr>
        <w:t xml:space="preserve">6.14  </w:t>
      </w:r>
      <w:hyperlink r:id="rId85">
        <w:r>
          <w:rPr>
            <w:color w:val="214F70"/>
            <w:sz w:val="20"/>
          </w:rPr>
          <w:t xml:space="preserve">Special Counsel Robert Mueller, Report on the Investigation into Russian Interference in the 2016 Presidential Election, volumes I and II, 2019.</w:t>
        </w:r>
      </w:hyperlink>
    </w:p>
    <w:p>
      <w:bookmarkStart w:id="71" w:name="note_6_15"/>
      <w:pPr>
        <w:pStyle w:val="SourceNote"/>
      </w:pPr>
      <w:bookmarkEnd w:id="71"/>
      <w:r>
        <w:rPr>
          <w:b/>
        </w:rPr>
        <w:t xml:space="preserve">6.15  </w:t>
      </w:r>
      <w:hyperlink r:id="rId86">
        <w:r>
          <w:rPr>
            <w:color w:val="214F70"/>
            <w:sz w:val="20"/>
          </w:rPr>
          <w:t xml:space="preserve">Robert Mueller, public statement, May 29, 2019.</w:t>
        </w:r>
      </w:hyperlink>
    </w:p>
    <w:p>
      <w:bookmarkStart w:id="72" w:name="note_6_16"/>
      <w:pPr>
        <w:pStyle w:val="SourceNote"/>
      </w:pPr>
      <w:bookmarkEnd w:id="72"/>
      <w:r>
        <w:rPr>
          <w:b/>
        </w:rPr>
        <w:t xml:space="preserve">6.16  </w:t>
      </w:r>
      <w:hyperlink r:id="rId87">
        <w:r>
          <w:rPr>
            <w:color w:val="214F70"/>
            <w:sz w:val="20"/>
          </w:rPr>
          <w:t xml:space="preserve">Attorney General William Barr, remarks on release of the Mueller report, April 18, 2019.</w:t>
        </w:r>
      </w:hyperlink>
      <w:r>
        <w:t xml:space="preserve"> Barr’s prosecutorial assessment is distinguished from Mueller’s account of his office’s approach.</w:t>
      </w:r>
    </w:p>
    <w:p>
      <w:bookmarkStart w:id="73" w:name="note_6_17"/>
      <w:pPr>
        <w:pStyle w:val="SourceNote"/>
      </w:pPr>
      <w:bookmarkEnd w:id="73"/>
      <w:r>
        <w:rPr>
          <w:b/>
        </w:rPr>
        <w:t xml:space="preserve">6.17  </w:t>
      </w:r>
      <w:hyperlink r:id="rId88">
        <w:r>
          <w:rPr>
            <w:color w:val="214F70"/>
            <w:sz w:val="20"/>
          </w:rPr>
          <w:t xml:space="preserve">White House memorandum of the July 25, 2019 Trump–Zelenskyy telephone conversation, declassified September 24, 2019 (C-SPAN reproduction).</w:t>
        </w:r>
      </w:hyperlink>
      <w:r>
        <w:t xml:space="preserve"> The document expressly warns that it is not a verbatim transcript.</w:t>
      </w:r>
    </w:p>
    <w:p>
      <w:bookmarkStart w:id="74" w:name="note_6_18"/>
      <w:pPr>
        <w:pStyle w:val="SourceNote"/>
      </w:pPr>
      <w:bookmarkEnd w:id="74"/>
      <w:r>
        <w:rPr>
          <w:b/>
        </w:rPr>
        <w:t xml:space="preserve">6.18  </w:t>
      </w:r>
      <w:hyperlink r:id="rId89">
        <w:r>
          <w:rPr>
            <w:color w:val="214F70"/>
            <w:sz w:val="20"/>
          </w:rPr>
          <w:t xml:space="preserve">GAO, Office of Management and Budget—Withholding of Ukraine Security Assistance, B-331564, January 16, 2020.</w:t>
        </w:r>
      </w:hyperlink>
    </w:p>
    <w:p>
      <w:bookmarkStart w:id="75" w:name="note_6_19"/>
      <w:pPr>
        <w:pStyle w:val="SourceNote"/>
      </w:pPr>
      <w:bookmarkEnd w:id="75"/>
      <w:r>
        <w:rPr>
          <w:b/>
        </w:rPr>
        <w:t xml:space="preserve">6.19  </w:t>
      </w:r>
      <w:hyperlink r:id="rId90">
        <w:r>
          <w:rPr>
            <w:color w:val="214F70"/>
            <w:sz w:val="20"/>
          </w:rPr>
          <w:t xml:space="preserve">Senate Daily Press Gallery, February 5, 2020 proceedings and impeachment votes.</w:t>
        </w:r>
      </w:hyperlink>
      <w:r>
        <w:t xml:space="preserve"> The second House article was obstruction of Congress.</w:t>
      </w:r>
    </w:p>
    <w:p>
      <w:bookmarkStart w:id="76" w:name="note_6_20"/>
      <w:pPr>
        <w:pStyle w:val="SourceNote"/>
      </w:pPr>
      <w:bookmarkEnd w:id="76"/>
      <w:r>
        <w:rPr>
          <w:b/>
        </w:rPr>
        <w:t xml:space="preserve">6.20  </w:t>
      </w:r>
      <w:hyperlink r:id="rId91">
        <w:r>
          <w:rPr>
            <w:color w:val="214F70"/>
            <w:sz w:val="20"/>
          </w:rPr>
          <w:t xml:space="preserve">White House, coronavirus task-force press conference, February 26, 2020.</w:t>
        </w:r>
      </w:hyperlink>
      <w:r>
        <w:t xml:space="preserve"> </w:t>
      </w:r>
      <w:hyperlink r:id="rId92">
        <w:r>
          <w:rPr>
            <w:color w:val="214F70"/>
            <w:sz w:val="20"/>
          </w:rPr>
          <w:t xml:space="preserve">GAO, COVID-19: Critical Vaccine Distribution, Supply Chain, Program Integrity, and Other Challenges Require Focused Federal Attention, GAO-21-265, January 2021.</w:t>
        </w:r>
      </w:hyperlink>
    </w:p>
    <w:p>
      <w:bookmarkStart w:id="77" w:name="note_6_21"/>
      <w:pPr>
        <w:pStyle w:val="SourceNote"/>
      </w:pPr>
      <w:bookmarkEnd w:id="77"/>
      <w:r>
        <w:rPr>
          <w:b/>
        </w:rPr>
        <w:t xml:space="preserve">6.21  </w:t>
      </w:r>
      <w:hyperlink r:id="rId93">
        <w:r>
          <w:rPr>
            <w:color w:val="214F70"/>
            <w:sz w:val="20"/>
          </w:rPr>
          <w:t xml:space="preserve">GAO, Operation Warp Speed: Accelerated COVID-19 Vaccine Development Status and Efforts to Address Manufacturing Challenges, GAO-21-319.</w:t>
        </w:r>
      </w:hyperlink>
    </w:p>
    <w:p>
      <w:bookmarkStart w:id="78" w:name="note_6_22"/>
      <w:pPr>
        <w:pStyle w:val="SourceNote"/>
      </w:pPr>
      <w:bookmarkEnd w:id="78"/>
      <w:r>
        <w:rPr>
          <w:b/>
        </w:rPr>
        <w:t xml:space="preserve">6.22  </w:t>
      </w:r>
      <w:hyperlink r:id="rId94">
        <w:r>
          <w:rPr>
            <w:color w:val="214F70"/>
            <w:sz w:val="20"/>
          </w:rPr>
          <w:t xml:space="preserve">FDA, congressional testimony on COVID-19 vaccinations, March 17, 2021.</w:t>
        </w:r>
      </w:hyperlink>
      <w:r>
        <w:t xml:space="preserve"> Records the December 11, 2020 first emergency vaccine authorization.</w:t>
      </w:r>
    </w:p>
    <w:p>
      <w:bookmarkStart w:id="79" w:name="note_6_23"/>
      <w:pPr>
        <w:pStyle w:val="SourceNote"/>
      </w:pPr>
      <w:bookmarkEnd w:id="79"/>
      <w:r>
        <w:rPr>
          <w:b/>
        </w:rPr>
        <w:t xml:space="preserve">6.23  </w:t>
      </w:r>
      <w:hyperlink r:id="rId95">
        <w:r>
          <w:rPr>
            <w:color w:val="214F70"/>
            <w:sz w:val="20"/>
          </w:rPr>
          <w:t xml:space="preserve">CDC, “Provisional Mortality Data—United States, 2021,” MMWR 71(17), April 29, 2022, pp. 597–600.</w:t>
        </w:r>
      </w:hyperlink>
      <w:r>
        <w:t xml:space="preserve"> Narrative uses the comparative table’s underlying-cause deaths in calendar 2020, not the broader involving-COVID total.</w:t>
      </w:r>
    </w:p>
    <w:p>
      <w:bookmarkStart w:id="80" w:name="note_6_24"/>
      <w:pPr>
        <w:pStyle w:val="SourceNote"/>
      </w:pPr>
      <w:bookmarkEnd w:id="80"/>
      <w:r>
        <w:rPr>
          <w:b/>
        </w:rPr>
        <w:t xml:space="preserve">6.24  </w:t>
      </w:r>
      <w:hyperlink r:id="rId96">
        <w:r>
          <w:rPr>
            <w:color w:val="214F70"/>
            <w:sz w:val="20"/>
          </w:rPr>
          <w:t xml:space="preserve">BLS, Employment Situation—December 2020, January 8, 2021.</w:t>
        </w:r>
      </w:hyperlink>
      <w:r>
        <w:t xml:space="preserve"> </w:t>
      </w:r>
      <w:hyperlink r:id="rId97">
        <w:r>
          <w:rPr>
            <w:color w:val="214F70"/>
            <w:sz w:val="20"/>
          </w:rPr>
          <w:t xml:space="preserve">BEA, Gross Domestic Product, Fourth Quarter and Year 2020, advance estimate, January 2021.</w:t>
        </w:r>
      </w:hyperlink>
    </w:p>
    <w:p>
      <w:bookmarkStart w:id="81" w:name="note_6_25"/>
      <w:pPr>
        <w:pStyle w:val="SourceNote"/>
      </w:pPr>
      <w:bookmarkEnd w:id="81"/>
      <w:r>
        <w:rPr>
          <w:b/>
        </w:rPr>
        <w:t xml:space="preserve">6.25  </w:t>
      </w:r>
      <w:hyperlink r:id="rId98">
        <w:r>
          <w:rPr>
            <w:color w:val="214F70"/>
            <w:sz w:val="20"/>
          </w:rPr>
          <w:t xml:space="preserve">U.S. Department of State, Abraham Accords texts and declarations, 2020.</w:t>
        </w:r>
      </w:hyperlink>
    </w:p>
    <w:p>
      <w:bookmarkStart w:id="82" w:name="note_6_26"/>
      <w:pPr>
        <w:pStyle w:val="SourceNote"/>
      </w:pPr>
      <w:bookmarkEnd w:id="82"/>
      <w:r>
        <w:rPr>
          <w:b/>
        </w:rPr>
        <w:t xml:space="preserve">6.26  </w:t>
      </w:r>
      <w:hyperlink r:id="rId99">
        <w:r>
          <w:rPr>
            <w:color w:val="214F70"/>
            <w:sz w:val="20"/>
          </w:rPr>
          <w:t xml:space="preserve">White House, announcement ending U.S. participation in the Iran nuclear agreement, May 8, 2018.</w:t>
        </w:r>
      </w:hyperlink>
      <w:r>
        <w:t xml:space="preserve"> </w:t>
      </w:r>
      <w:hyperlink r:id="rId100">
        <w:r>
          <w:rPr>
            <w:color w:val="214F70"/>
            <w:sz w:val="20"/>
          </w:rPr>
          <w:t xml:space="preserve">Trump–Kim Singapore Summit joint statement, June 12, 2018.</w:t>
        </w:r>
      </w:hyperlink>
      <w:r>
        <w:t xml:space="preserve"> </w:t>
      </w:r>
      <w:hyperlink r:id="rId101">
        <w:r>
          <w:rPr>
            <w:color w:val="214F70"/>
            <w:sz w:val="20"/>
          </w:rPr>
          <w:t xml:space="preserve">White House, announcement of the operation against Abu Bakr al-Baghdadi, October 27, 2019.</w:t>
        </w:r>
      </w:hyperlink>
      <w:r>
        <w:t xml:space="preserve"> </w:t>
      </w:r>
      <w:hyperlink r:id="rId102">
        <w:r>
          <w:rPr>
            <w:color w:val="214F70"/>
            <w:sz w:val="20"/>
          </w:rPr>
          <w:t xml:space="preserve">U.S. Department of State, Agreement for Bringing Peace to Afghanistan, February 29, 2020.</w:t>
        </w:r>
      </w:hyperlink>
    </w:p>
    <w:p>
      <w:bookmarkStart w:id="83" w:name="note_6_27"/>
      <w:pPr>
        <w:pStyle w:val="SourceNote"/>
      </w:pPr>
      <w:bookmarkEnd w:id="83"/>
      <w:r>
        <w:rPr>
          <w:b/>
        </w:rPr>
        <w:t xml:space="preserve">6.27  </w:t>
      </w:r>
      <w:hyperlink r:id="rId103">
        <w:r>
          <w:rPr>
            <w:color w:val="214F70"/>
            <w:sz w:val="20"/>
          </w:rPr>
          <w:t xml:space="preserve">Administrative Office of the U.S. Courts, Judgeship Appointments by President, January 2025 table.</w:t>
        </w:r>
      </w:hyperlink>
      <w:r>
        <w:t xml:space="preserve"> Totals depend on the courts and categories included; the narrative specifies three Supreme Court appointments without conflating different totals.</w:t>
      </w:r>
    </w:p>
    <w:p>
      <w:bookmarkStart w:id="84" w:name="note_6_28"/>
      <w:pPr>
        <w:pStyle w:val="SourceNote"/>
      </w:pPr>
      <w:bookmarkEnd w:id="84"/>
      <w:r>
        <w:rPr>
          <w:b/>
        </w:rPr>
        <w:t xml:space="preserve">6.28  </w:t>
      </w:r>
      <w:hyperlink r:id="rId104">
        <w:r>
          <w:rPr>
            <w:color w:val="214F70"/>
            <w:sz w:val="20"/>
          </w:rPr>
          <w:t xml:space="preserve">Federal Bureau of Prisons, First Step Act overview.</w:t>
        </w:r>
      </w:hyperlink>
    </w:p>
    <w:p>
      <w:pPr>
        <w:pStyle w:val="Heading2"/>
      </w:pPr>
      <w:r>
        <w:t>Chapter 7</w:t>
      </w:r>
    </w:p>
    <w:p>
      <w:bookmarkStart w:id="85" w:name="note_7_1"/>
      <w:pPr>
        <w:pStyle w:val="SourceNote"/>
      </w:pPr>
      <w:bookmarkEnd w:id="85"/>
      <w:r>
        <w:rPr>
          <w:b/>
        </w:rPr>
        <w:t xml:space="preserve">7.1  </w:t>
      </w:r>
      <w:hyperlink r:id="rId105">
        <w:r>
          <w:rPr>
            <w:color w:val="214F70"/>
            <w:sz w:val="20"/>
          </w:rPr>
          <w:t xml:space="preserve">National Archives, 2020 Electoral College Results.</w:t>
        </w:r>
      </w:hyperlink>
      <w:r>
        <w:t xml:space="preserve"> </w:t>
      </w:r>
      <w:hyperlink r:id="rId106">
        <w:r>
          <w:rPr>
            <w:color w:val="214F70"/>
            <w:sz w:val="20"/>
          </w:rPr>
          <w:t xml:space="preserve">House January 6 Select Committee, Final Report, chapter 1, December 2022.</w:t>
        </w:r>
      </w:hyperlink>
      <w:r>
        <w:t xml:space="preserve"> Includes citations to testimony, communications, recordings, and other supporting exhibits.</w:t>
      </w:r>
    </w:p>
    <w:p>
      <w:bookmarkStart w:id="86" w:name="note_7_2"/>
      <w:pPr>
        <w:pStyle w:val="SourceNote"/>
      </w:pPr>
      <w:bookmarkEnd w:id="86"/>
      <w:r>
        <w:rPr>
          <w:b/>
        </w:rPr>
        <w:t xml:space="preserve">7.2  </w:t>
      </w:r>
      <w:hyperlink r:id="rId107">
        <w:r>
          <w:rPr>
            <w:color w:val="214F70"/>
            <w:sz w:val="20"/>
          </w:rPr>
          <w:t xml:space="preserve">Donald J. Trump for President v. Secretary Commonwealth of Pennsylvania, Third Circuit No. 20-3371, November 27, 2020 (Justia reproduction).</w:t>
        </w:r>
      </w:hyperlink>
    </w:p>
    <w:p>
      <w:bookmarkStart w:id="87" w:name="note_7_3"/>
      <w:pPr>
        <w:pStyle w:val="SourceNote"/>
      </w:pPr>
      <w:bookmarkEnd w:id="87"/>
      <w:r>
        <w:rPr>
          <w:b/>
        </w:rPr>
        <w:t xml:space="preserve">7.3  </w:t>
      </w:r>
      <w:hyperlink r:id="rId108">
        <w:r>
          <w:rPr>
            <w:color w:val="214F70"/>
            <w:sz w:val="20"/>
          </w:rPr>
          <w:t xml:space="preserve">Supreme Court docket, Texas v. Pennsylvania, No. 22O155, December 11, 2020 order.</w:t>
        </w:r>
      </w:hyperlink>
      <w:r>
        <w:t xml:space="preserve"> Dismissal for lack of standing, not a trial on all attached factual assertions.</w:t>
      </w:r>
    </w:p>
    <w:p>
      <w:bookmarkStart w:id="88" w:name="note_7_4"/>
      <w:pPr>
        <w:pStyle w:val="SourceNote"/>
      </w:pPr>
      <w:bookmarkEnd w:id="88"/>
      <w:r>
        <w:rPr>
          <w:b/>
        </w:rPr>
        <w:t xml:space="preserve">7.4  </w:t>
      </w:r>
      <w:hyperlink r:id="rId109">
        <w:r>
          <w:rPr>
            <w:color w:val="214F70"/>
            <w:sz w:val="20"/>
          </w:rPr>
          <w:t xml:space="preserve">Georgia Secretary of State, “Historic First Statewide Audit of Paper Ballots Upholds Result of Presidential Race,” November 19, 2020.</w:t>
        </w:r>
      </w:hyperlink>
      <w:r>
        <w:t xml:space="preserve"> </w:t>
      </w:r>
      <w:hyperlink r:id="rId110">
        <w:r>
          <w:rPr>
            <w:color w:val="214F70"/>
            <w:sz w:val="20"/>
          </w:rPr>
          <w:t xml:space="preserve">House January 6 Select Committee, Final Report, chapter 2, December 2022.</w:t>
        </w:r>
      </w:hyperlink>
      <w:r>
        <w:t xml:space="preserve"> Includes citations to testimony, communications, recordings, and other supporting exhibits.</w:t>
      </w:r>
    </w:p>
    <w:p>
      <w:bookmarkStart w:id="89" w:name="note_7_5"/>
      <w:pPr>
        <w:pStyle w:val="SourceNote"/>
      </w:pPr>
      <w:bookmarkEnd w:id="89"/>
      <w:r>
        <w:rPr>
          <w:b/>
        </w:rPr>
        <w:t xml:space="preserve">7.5  </w:t>
      </w:r>
      <w:hyperlink r:id="rId110">
        <w:r>
          <w:rPr>
            <w:color w:val="214F70"/>
            <w:sz w:val="20"/>
          </w:rPr>
          <w:t xml:space="preserve">House January 6 Select Committee, Final Report, chapter 2, December 2022.</w:t>
        </w:r>
      </w:hyperlink>
      <w:r>
        <w:t xml:space="preserve"> Includes citations to testimony, communications, recordings, and other supporting exhibits.</w:t>
      </w:r>
    </w:p>
    <w:p>
      <w:bookmarkStart w:id="90" w:name="note_7_6"/>
      <w:pPr>
        <w:pStyle w:val="SourceNote"/>
      </w:pPr>
      <w:bookmarkEnd w:id="90"/>
      <w:r>
        <w:rPr>
          <w:b/>
        </w:rPr>
        <w:t xml:space="preserve">7.6  </w:t>
      </w:r>
      <w:hyperlink r:id="rId111">
        <w:r>
          <w:rPr>
            <w:color w:val="214F70"/>
            <w:sz w:val="20"/>
          </w:rPr>
          <w:t xml:space="preserve">House January 6 Select Committee, Final Report, chapter 4, December 2022.</w:t>
        </w:r>
      </w:hyperlink>
      <w:r>
        <w:t xml:space="preserve"> Includes citations to testimony, communications, recordings, and other supporting exhibits.</w:t>
      </w:r>
    </w:p>
    <w:p>
      <w:bookmarkStart w:id="91" w:name="note_7_7"/>
      <w:pPr>
        <w:pStyle w:val="SourceNote"/>
      </w:pPr>
      <w:bookmarkEnd w:id="91"/>
      <w:r>
        <w:rPr>
          <w:b/>
        </w:rPr>
        <w:t xml:space="preserve">7.7  </w:t>
      </w:r>
      <w:hyperlink r:id="rId112">
        <w:r>
          <w:rPr>
            <w:color w:val="214F70"/>
            <w:sz w:val="20"/>
          </w:rPr>
          <w:t xml:space="preserve">House January 6 Select Committee, Final Report, chapter 3, December 2022.</w:t>
        </w:r>
      </w:hyperlink>
      <w:r>
        <w:t xml:space="preserve"> Includes citations to testimony, communications, recordings, and other supporting exhibits.</w:t>
      </w:r>
    </w:p>
    <w:p>
      <w:bookmarkStart w:id="92" w:name="note_7_8"/>
      <w:pPr>
        <w:pStyle w:val="SourceNote"/>
      </w:pPr>
      <w:bookmarkEnd w:id="92"/>
      <w:r>
        <w:rPr>
          <w:b/>
        </w:rPr>
        <w:t xml:space="preserve">7.8  </w:t>
      </w:r>
      <w:hyperlink r:id="rId113">
        <w:r>
          <w:rPr>
            <w:color w:val="214F70"/>
            <w:sz w:val="20"/>
          </w:rPr>
          <w:t xml:space="preserve">House January 6 Select Committee, Final Report, chapter 5, December 2022.</w:t>
        </w:r>
      </w:hyperlink>
      <w:r>
        <w:t xml:space="preserve"> Includes citations to testimony, communications, recordings, and other supporting exhibits.</w:t>
      </w:r>
    </w:p>
    <w:p>
      <w:bookmarkStart w:id="93" w:name="note_7_9"/>
      <w:pPr>
        <w:pStyle w:val="SourceNote"/>
      </w:pPr>
      <w:bookmarkEnd w:id="93"/>
      <w:r>
        <w:rPr>
          <w:b/>
        </w:rPr>
        <w:t xml:space="preserve">7.9  </w:t>
      </w:r>
      <w:hyperlink r:id="rId114">
        <w:r>
          <w:rPr>
            <w:color w:val="214F70"/>
            <w:sz w:val="20"/>
          </w:rPr>
          <w:t xml:space="preserve">Congressional Record, January 13, 2021, impeachment debate and record concerning the January 6 speech.</w:t>
        </w:r>
      </w:hyperlink>
    </w:p>
    <w:p>
      <w:bookmarkStart w:id="94" w:name="note_7_10"/>
      <w:pPr>
        <w:pStyle w:val="SourceNote"/>
      </w:pPr>
      <w:bookmarkEnd w:id="94"/>
      <w:r>
        <w:rPr>
          <w:b/>
        </w:rPr>
        <w:t xml:space="preserve">7.10  </w:t>
      </w:r>
      <w:hyperlink r:id="rId115">
        <w:r>
          <w:rPr>
            <w:color w:val="214F70"/>
            <w:sz w:val="20"/>
          </w:rPr>
          <w:t xml:space="preserve">House January 6 Select Committee, Final Report, chapter 8, December 2022.</w:t>
        </w:r>
      </w:hyperlink>
      <w:r>
        <w:t xml:space="preserve"> Includes citations to testimony, communications, recordings, and other supporting exhibits.</w:t>
      </w:r>
      <w:r>
        <w:t xml:space="preserve"> </w:t>
      </w:r>
      <w:hyperlink r:id="rId116">
        <w:r>
          <w:rPr>
            <w:color w:val="214F70"/>
            <w:sz w:val="20"/>
          </w:rPr>
          <w:t xml:space="preserve">Congressional Record, February 10, 2021, Senate impeachment trial.</w:t>
        </w:r>
      </w:hyperlink>
    </w:p>
    <w:p>
      <w:bookmarkStart w:id="95" w:name="note_7_11"/>
      <w:pPr>
        <w:pStyle w:val="SourceNote"/>
      </w:pPr>
      <w:bookmarkEnd w:id="95"/>
      <w:r>
        <w:rPr>
          <w:b/>
        </w:rPr>
        <w:t xml:space="preserve">7.11  </w:t>
      </w:r>
      <w:hyperlink r:id="rId116">
        <w:r>
          <w:rPr>
            <w:color w:val="214F70"/>
            <w:sz w:val="20"/>
          </w:rPr>
          <w:t xml:space="preserve">Congressional Record, February 10, 2021, Senate impeachment trial.</w:t>
        </w:r>
      </w:hyperlink>
    </w:p>
    <w:p>
      <w:bookmarkStart w:id="96" w:name="note_7_12"/>
      <w:pPr>
        <w:pStyle w:val="SourceNote"/>
      </w:pPr>
      <w:bookmarkEnd w:id="96"/>
      <w:r>
        <w:rPr>
          <w:b/>
        </w:rPr>
        <w:t xml:space="preserve">7.12  </w:t>
      </w:r>
      <w:hyperlink r:id="rId117">
        <w:r>
          <w:rPr>
            <w:color w:val="214F70"/>
            <w:sz w:val="20"/>
          </w:rPr>
          <w:t xml:space="preserve">Senate Homeland Security and Governmental Affairs and Rules Committees, Examining the U.S. Capitol Attack, bipartisan report, June 8, 2021.</w:t>
        </w:r>
      </w:hyperlink>
    </w:p>
    <w:p>
      <w:bookmarkStart w:id="97" w:name="note_7_13"/>
      <w:pPr>
        <w:pStyle w:val="SourceNote"/>
      </w:pPr>
      <w:bookmarkEnd w:id="97"/>
      <w:r>
        <w:rPr>
          <w:b/>
        </w:rPr>
        <w:t xml:space="preserve">7.13  </w:t>
      </w:r>
      <w:hyperlink r:id="rId114">
        <w:r>
          <w:rPr>
            <w:color w:val="214F70"/>
            <w:sz w:val="20"/>
          </w:rPr>
          <w:t xml:space="preserve">Congressional Record, January 13, 2021, impeachment debate and record concerning the January 6 speech.</w:t>
        </w:r>
      </w:hyperlink>
      <w:r>
        <w:t xml:space="preserve"> </w:t>
      </w:r>
      <w:hyperlink r:id="rId118">
        <w:r>
          <w:rPr>
            <w:color w:val="214F70"/>
            <w:sz w:val="20"/>
          </w:rPr>
          <w:t xml:space="preserve">Congressional Record, February 13, 2021, judgment and senators’ statements.</w:t>
        </w:r>
      </w:hyperlink>
    </w:p>
    <w:p>
      <w:bookmarkStart w:id="98" w:name="note_7_14"/>
      <w:pPr>
        <w:pStyle w:val="SourceNote"/>
      </w:pPr>
      <w:bookmarkEnd w:id="98"/>
      <w:r>
        <w:rPr>
          <w:b/>
        </w:rPr>
        <w:t xml:space="preserve">7.14  </w:t>
      </w:r>
      <w:hyperlink r:id="rId119">
        <w:r>
          <w:rPr>
            <w:color w:val="214F70"/>
            <w:sz w:val="20"/>
          </w:rPr>
          <w:t xml:space="preserve">Senate floor proceedings, February 13, 2021.</w:t>
        </w:r>
      </w:hyperlink>
      <w:r>
        <w:t xml:space="preserve"> </w:t>
      </w:r>
      <w:hyperlink r:id="rId118">
        <w:r>
          <w:rPr>
            <w:color w:val="214F70"/>
            <w:sz w:val="20"/>
          </w:rPr>
          <w:t xml:space="preserve">Congressional Record, February 13, 2021, judgment and senators’ statements.</w:t>
        </w:r>
      </w:hyperlink>
    </w:p>
    <w:p>
      <w:bookmarkStart w:id="99" w:name="note_7_15"/>
      <w:pPr>
        <w:pStyle w:val="SourceNote"/>
      </w:pPr>
      <w:bookmarkEnd w:id="99"/>
      <w:r>
        <w:rPr>
          <w:b/>
        </w:rPr>
        <w:t xml:space="preserve">7.15  </w:t>
      </w:r>
      <w:hyperlink r:id="rId120">
        <w:r>
          <w:rPr>
            <w:color w:val="214F70"/>
            <w:sz w:val="20"/>
          </w:rPr>
          <w:t xml:space="preserve">House January 6 Select Committee, Final Report, December 2022.</w:t>
        </w:r>
      </w:hyperlink>
      <w:r>
        <w:t xml:space="preserve"> A congressional investigative record and findings, not a criminal verdict.</w:t>
      </w:r>
    </w:p>
    <w:p>
      <w:pPr>
        <w:pStyle w:val="Heading2"/>
      </w:pPr>
      <w:r>
        <w:t>Chapter 8</w:t>
      </w:r>
    </w:p>
    <w:p>
      <w:bookmarkStart w:id="100" w:name="note_8_1"/>
      <w:pPr>
        <w:pStyle w:val="SourceNote"/>
      </w:pPr>
      <w:bookmarkEnd w:id="100"/>
      <w:r>
        <w:rPr>
          <w:b/>
        </w:rPr>
        <w:t xml:space="preserve">8.1  </w:t>
      </w:r>
      <w:hyperlink r:id="rId55">
        <w:r>
          <w:rPr>
            <w:color w:val="214F70"/>
            <w:sz w:val="20"/>
          </w:rPr>
          <w:t xml:space="preserve">Manhattan District Attorney, 34-count trial conviction of Donald J. Trump, May 30, 2024.</w:t>
        </w:r>
      </w:hyperlink>
      <w:r>
        <w:t xml:space="preserve"> Prosecutor’s announcement of the actual jury verdict; advocacy concerning the case is not treated as an additional finding.</w:t>
      </w:r>
    </w:p>
    <w:p>
      <w:bookmarkStart w:id="101" w:name="note_8_2"/>
      <w:pPr>
        <w:pStyle w:val="SourceNote"/>
      </w:pPr>
      <w:bookmarkEnd w:id="101"/>
      <w:r>
        <w:rPr>
          <w:b/>
        </w:rPr>
        <w:t xml:space="preserve">8.2  </w:t>
      </w:r>
      <w:hyperlink r:id="rId121">
        <w:r>
          <w:rPr>
            <w:color w:val="214F70"/>
            <w:sz w:val="20"/>
          </w:rPr>
          <w:t xml:space="preserve">People v. Trump, January 3, 2025 decision, 2025 NY Slip Op 30014(U) (Justia reproduction).</w:t>
        </w:r>
      </w:hyperlink>
      <w:r>
        <w:t xml:space="preserve"> </w:t>
      </w:r>
      <w:hyperlink r:id="rId55">
        <w:r>
          <w:rPr>
            <w:color w:val="214F70"/>
            <w:sz w:val="20"/>
          </w:rPr>
          <w:t xml:space="preserve">Manhattan District Attorney, 34-count trial conviction of Donald J. Trump, May 30, 2024.</w:t>
        </w:r>
      </w:hyperlink>
      <w:r>
        <w:t xml:space="preserve"> Prosecutor’s announcement of the actual jury verdict; advocacy concerning the case is not treated as an additional finding.</w:t>
      </w:r>
    </w:p>
    <w:p>
      <w:bookmarkStart w:id="102" w:name="note_8_3"/>
      <w:pPr>
        <w:pStyle w:val="SourceNote"/>
      </w:pPr>
      <w:bookmarkEnd w:id="102"/>
      <w:r>
        <w:rPr>
          <w:b/>
        </w:rPr>
        <w:t xml:space="preserve">8.3  </w:t>
      </w:r>
      <w:hyperlink r:id="rId122">
        <w:r>
          <w:rPr>
            <w:color w:val="214F70"/>
            <w:sz w:val="20"/>
          </w:rPr>
          <w:t xml:space="preserve">Indian Express, “Trump appeals New York felony conviction in hush money case,” October 2025, wire reporting.</w:t>
        </w:r>
      </w:hyperlink>
      <w:r>
        <w:t xml:space="preserve"> </w:t>
      </w:r>
      <w:hyperlink r:id="rId121">
        <w:r>
          <w:rPr>
            <w:color w:val="214F70"/>
            <w:sz w:val="20"/>
          </w:rPr>
          <w:t xml:space="preserve">People v. Trump, January 3, 2025 decision, 2025 NY Slip Op 30014(U) (Justia reproduction).</w:t>
        </w:r>
      </w:hyperlink>
    </w:p>
    <w:p>
      <w:bookmarkStart w:id="103" w:name="note_8_4"/>
      <w:pPr>
        <w:pStyle w:val="SourceNote"/>
      </w:pPr>
      <w:bookmarkEnd w:id="103"/>
      <w:r>
        <w:rPr>
          <w:b/>
        </w:rPr>
        <w:t xml:space="preserve">8.4  </w:t>
      </w:r>
      <w:hyperlink r:id="rId123">
        <w:r>
          <w:rPr>
            <w:color w:val="214F70"/>
            <w:sz w:val="20"/>
          </w:rPr>
          <w:t xml:space="preserve">People v. Trump, S.D.N.Y., Judge Hellerstein’s removal decision, August 28, 2026.</w:t>
        </w:r>
      </w:hyperlink>
      <w:r>
        <w:t xml:space="preserve"> Records the January 10, 2025 unconditional discharge and addresses removal after remand. This is distinct from the direct state appeal.</w:t>
      </w:r>
    </w:p>
    <w:p>
      <w:bookmarkStart w:id="104" w:name="note_8_5"/>
      <w:pPr>
        <w:pStyle w:val="SourceNote"/>
      </w:pPr>
      <w:bookmarkEnd w:id="104"/>
      <w:r>
        <w:rPr>
          <w:b/>
        </w:rPr>
        <w:t xml:space="preserve">8.5  </w:t>
      </w:r>
      <w:hyperlink r:id="rId123">
        <w:r>
          <w:rPr>
            <w:color w:val="214F70"/>
            <w:sz w:val="20"/>
          </w:rPr>
          <w:t xml:space="preserve">People v. Trump, S.D.N.Y., Judge Hellerstein’s removal decision, August 28, 2026.</w:t>
        </w:r>
      </w:hyperlink>
      <w:r>
        <w:t xml:space="preserve"> Records the January 10, 2025 unconditional discharge and addresses removal after remand. This is distinct from the direct state appeal.</w:t>
      </w:r>
      <w:r>
        <w:t xml:space="preserve"> </w:t>
      </w:r>
      <w:hyperlink r:id="rId122">
        <w:r>
          <w:rPr>
            <w:color w:val="214F70"/>
            <w:sz w:val="20"/>
          </w:rPr>
          <w:t xml:space="preserve">Indian Express, “Trump appeals New York felony conviction in hush money case,” October 2025, wire reporting.</w:t>
        </w:r>
      </w:hyperlink>
    </w:p>
    <w:p>
      <w:bookmarkStart w:id="105" w:name="note_8_6"/>
      <w:pPr>
        <w:pStyle w:val="SourceNote"/>
      </w:pPr>
      <w:bookmarkEnd w:id="105"/>
      <w:r>
        <w:rPr>
          <w:b/>
        </w:rPr>
        <w:t xml:space="preserve">8.6  </w:t>
      </w:r>
      <w:hyperlink r:id="rId124">
        <w:r>
          <w:rPr>
            <w:color w:val="214F70"/>
            <w:sz w:val="20"/>
          </w:rPr>
          <w:t xml:space="preserve">Justice Department, Special Counsel Jack Smith archive: indictments, filings, and related records.</w:t>
        </w:r>
      </w:hyperlink>
      <w:r>
        <w:t xml:space="preserve"> Indictments establish what prosecutors alleged, not guilt.</w:t>
      </w:r>
    </w:p>
    <w:p>
      <w:bookmarkStart w:id="106" w:name="note_8_7"/>
      <w:pPr>
        <w:pStyle w:val="SourceNote"/>
      </w:pPr>
      <w:bookmarkEnd w:id="106"/>
      <w:r>
        <w:rPr>
          <w:b/>
        </w:rPr>
        <w:t xml:space="preserve">8.7  </w:t>
      </w:r>
      <w:hyperlink r:id="rId125">
        <w:r>
          <w:rPr>
            <w:color w:val="214F70"/>
            <w:sz w:val="20"/>
          </w:rPr>
          <w:t xml:space="preserve">United States v. Trump, S.D. Fla., July 15, 2024 dismissal order (Judicial Watch reproduction of filed order).</w:t>
        </w:r>
      </w:hyperlink>
      <w:r>
        <w:t xml:space="preserve"> Dismissal based on special-counsel appointment; predates the 2024 election.</w:t>
      </w:r>
    </w:p>
    <w:p>
      <w:bookmarkStart w:id="107" w:name="note_8_8"/>
      <w:pPr>
        <w:pStyle w:val="SourceNote"/>
      </w:pPr>
      <w:bookmarkEnd w:id="107"/>
      <w:r>
        <w:rPr>
          <w:b/>
        </w:rPr>
        <w:t xml:space="preserve">8.8  </w:t>
      </w:r>
      <w:hyperlink r:id="rId126">
        <w:r>
          <w:rPr>
            <w:color w:val="214F70"/>
            <w:sz w:val="20"/>
          </w:rPr>
          <w:t xml:space="preserve">ABC News, court dismisses remaining classified-documents appeal, February 11, 2025.</w:t>
        </w:r>
      </w:hyperlink>
      <w:r>
        <w:t xml:space="preserve"> </w:t>
      </w:r>
      <w:hyperlink r:id="rId127">
        <w:r>
          <w:rPr>
            <w:color w:val="214F70"/>
            <w:sz w:val="20"/>
          </w:rPr>
          <w:t xml:space="preserve">Special Counsel Jack Smith, Final Report, volume I, January 2025.</w:t>
        </w:r>
      </w:hyperlink>
      <w:r>
        <w:t xml:space="preserve"> The prosecutor’s assessment of proof is explicitly distinguished from an unrendered jury verdict.</w:t>
      </w:r>
    </w:p>
    <w:p>
      <w:bookmarkStart w:id="108" w:name="note_8_9"/>
      <w:pPr>
        <w:pStyle w:val="SourceNote"/>
      </w:pPr>
      <w:bookmarkEnd w:id="108"/>
      <w:r>
        <w:rPr>
          <w:b/>
        </w:rPr>
        <w:t xml:space="preserve">8.9  </w:t>
      </w:r>
      <w:hyperlink r:id="rId124">
        <w:r>
          <w:rPr>
            <w:color w:val="214F70"/>
            <w:sz w:val="20"/>
          </w:rPr>
          <w:t xml:space="preserve">Justice Department, Special Counsel Jack Smith archive: indictments, filings, and related records.</w:t>
        </w:r>
      </w:hyperlink>
      <w:r>
        <w:t xml:space="preserve"> Indictments establish what prosecutors alleged, not guilt.</w:t>
      </w:r>
    </w:p>
    <w:p>
      <w:bookmarkStart w:id="109" w:name="note_8_10"/>
      <w:pPr>
        <w:pStyle w:val="SourceNote"/>
      </w:pPr>
      <w:bookmarkEnd w:id="109"/>
      <w:r>
        <w:rPr>
          <w:b/>
        </w:rPr>
        <w:t xml:space="preserve">8.10  </w:t>
      </w:r>
      <w:hyperlink r:id="rId128">
        <w:r>
          <w:rPr>
            <w:color w:val="214F70"/>
            <w:sz w:val="20"/>
          </w:rPr>
          <w:t xml:space="preserve">Trump v. United States, Supreme Court, July 1, 2024.</w:t>
        </w:r>
      </w:hyperlink>
    </w:p>
    <w:p>
      <w:bookmarkStart w:id="110" w:name="note_8_11"/>
      <w:pPr>
        <w:pStyle w:val="SourceNote"/>
      </w:pPr>
      <w:bookmarkEnd w:id="110"/>
      <w:r>
        <w:rPr>
          <w:b/>
        </w:rPr>
        <w:t xml:space="preserve">8.11  </w:t>
      </w:r>
      <w:hyperlink r:id="rId127">
        <w:r>
          <w:rPr>
            <w:color w:val="214F70"/>
            <w:sz w:val="20"/>
          </w:rPr>
          <w:t xml:space="preserve">Special Counsel Jack Smith, Final Report, volume I, January 2025.</w:t>
        </w:r>
      </w:hyperlink>
      <w:r>
        <w:t xml:space="preserve"> The prosecutor’s assessment of proof is explicitly distinguished from an unrendered jury verdict.</w:t>
      </w:r>
    </w:p>
    <w:p>
      <w:bookmarkStart w:id="111" w:name="note_8_12"/>
      <w:pPr>
        <w:pStyle w:val="SourceNote"/>
      </w:pPr>
      <w:bookmarkEnd w:id="111"/>
      <w:r>
        <w:rPr>
          <w:b/>
        </w:rPr>
        <w:t xml:space="preserve">8.12  </w:t>
      </w:r>
      <w:hyperlink r:id="rId129">
        <w:r>
          <w:rPr>
            <w:color w:val="214F70"/>
            <w:sz w:val="20"/>
          </w:rPr>
          <w:t xml:space="preserve">State v. Trump et al., prosecutor’s nolle prosequi filing and explanatory exhibit, November 26, 2025 (defense-site reproduction).</w:t>
        </w:r>
      </w:hyperlink>
      <w:r>
        <w:t xml:space="preserve"> Cited as a reproduction of a filed document, not as the hosting site’s interpretation.</w:t>
      </w:r>
      <w:r>
        <w:t xml:space="preserve"> </w:t>
      </w:r>
      <w:hyperlink r:id="rId130">
        <w:r>
          <w:rPr>
            <w:color w:val="214F70"/>
            <w:sz w:val="20"/>
          </w:rPr>
          <w:t xml:space="preserve">Associated Press via Georgia Public Broadcasting, new prosecutor declines to pursue Georgia election case, November 26, 2025.</w:t>
        </w:r>
      </w:hyperlink>
    </w:p>
    <w:p>
      <w:bookmarkStart w:id="112" w:name="note_8_13"/>
      <w:pPr>
        <w:pStyle w:val="SourceNote"/>
      </w:pPr>
      <w:bookmarkEnd w:id="112"/>
      <w:r>
        <w:rPr>
          <w:b/>
        </w:rPr>
        <w:t xml:space="preserve">8.13  </w:t>
      </w:r>
      <w:hyperlink r:id="rId129">
        <w:r>
          <w:rPr>
            <w:color w:val="214F70"/>
            <w:sz w:val="20"/>
          </w:rPr>
          <w:t xml:space="preserve">State v. Trump et al., prosecutor’s nolle prosequi filing and explanatory exhibit, November 26, 2025 (defense-site reproduction).</w:t>
        </w:r>
      </w:hyperlink>
      <w:r>
        <w:t xml:space="preserve"> Cited as a reproduction of a filed document, not as the hosting site’s interpretation.</w:t>
      </w:r>
      <w:r>
        <w:t xml:space="preserve"> </w:t>
      </w:r>
      <w:hyperlink r:id="rId130">
        <w:r>
          <w:rPr>
            <w:color w:val="214F70"/>
            <w:sz w:val="20"/>
          </w:rPr>
          <w:t xml:space="preserve">Associated Press via Georgia Public Broadcasting, new prosecutor declines to pursue Georgia election case, November 26, 2025.</w:t>
        </w:r>
      </w:hyperlink>
    </w:p>
    <w:p>
      <w:bookmarkStart w:id="113" w:name="note_8_14"/>
      <w:pPr>
        <w:pStyle w:val="SourceNote"/>
      </w:pPr>
      <w:bookmarkEnd w:id="113"/>
      <w:r>
        <w:rPr>
          <w:b/>
        </w:rPr>
        <w:t xml:space="preserve">8.14  </w:t>
      </w:r>
      <w:hyperlink r:id="rId131">
        <w:r>
          <w:rPr>
            <w:color w:val="214F70"/>
            <w:sz w:val="20"/>
          </w:rPr>
          <w:t xml:space="preserve">Manhattan District Attorney, all-count convictions of Trump Corporation and Trump Payroll Corporation, December 6, 2022.</w:t>
        </w:r>
      </w:hyperlink>
      <w:r>
        <w:t xml:space="preserve"> </w:t>
      </w:r>
      <w:hyperlink r:id="rId132">
        <w:r>
          <w:rPr>
            <w:color w:val="214F70"/>
            <w:sz w:val="20"/>
          </w:rPr>
          <w:t xml:space="preserve">Manhattan District Attorney, corporate sentencing announcement, January 13, 2023.</w:t>
        </w:r>
      </w:hyperlink>
    </w:p>
    <w:p>
      <w:bookmarkStart w:id="114" w:name="note_8_15"/>
      <w:pPr>
        <w:pStyle w:val="SourceNote"/>
      </w:pPr>
      <w:bookmarkEnd w:id="114"/>
      <w:r>
        <w:rPr>
          <w:b/>
        </w:rPr>
        <w:t xml:space="preserve">8.15  </w:t>
      </w:r>
      <w:hyperlink r:id="rId133">
        <w:r>
          <w:rPr>
            <w:color w:val="214F70"/>
            <w:sz w:val="20"/>
          </w:rPr>
          <w:t xml:space="preserve">Manhattan District Attorney, Allen Weisselberg sentencing announcement, January 2023.</w:t>
        </w:r>
      </w:hyperlink>
      <w:r>
        <w:t xml:space="preserve"> </w:t>
      </w:r>
      <w:hyperlink r:id="rId131">
        <w:r>
          <w:rPr>
            <w:color w:val="214F70"/>
            <w:sz w:val="20"/>
          </w:rPr>
          <w:t xml:space="preserve">Manhattan District Attorney, all-count convictions of Trump Corporation and Trump Payroll Corporation, December 6, 2022.</w:t>
        </w:r>
      </w:hyperlink>
    </w:p>
    <w:p>
      <w:bookmarkStart w:id="115" w:name="note_8_16"/>
      <w:pPr>
        <w:pStyle w:val="SourceNote"/>
      </w:pPr>
      <w:bookmarkEnd w:id="115"/>
      <w:r>
        <w:rPr>
          <w:b/>
        </w:rPr>
        <w:t xml:space="preserve">8.16  </w:t>
      </w:r>
      <w:hyperlink r:id="rId134">
        <w:r>
          <w:rPr>
            <w:color w:val="214F70"/>
            <w:sz w:val="20"/>
          </w:rPr>
          <w:t xml:space="preserve">People v. Trump, Judge Engoron’s post-trial decision, February 16, 2024.</w:t>
        </w:r>
      </w:hyperlink>
    </w:p>
    <w:p>
      <w:bookmarkStart w:id="116" w:name="note_8_17"/>
      <w:pPr>
        <w:pStyle w:val="SourceNote"/>
      </w:pPr>
      <w:bookmarkEnd w:id="116"/>
      <w:r>
        <w:rPr>
          <w:b/>
        </w:rPr>
        <w:t xml:space="preserve">8.17  </w:t>
      </w:r>
      <w:hyperlink r:id="rId135">
        <w:r>
          <w:rPr>
            <w:color w:val="214F70"/>
            <w:sz w:val="20"/>
          </w:rPr>
          <w:t xml:space="preserve">People v. Trump, Appellate Division, First Department, 2025 NY Slip Op 04756, August 21, 2025.</w:t>
        </w:r>
      </w:hyperlink>
      <w:r>
        <w:t xml:space="preserve"> Operative disposition vacates disgorgement awards in their entirety and sanctions against counsel, and otherwise affirms. Read the separate opinions as well as the disposition.</w:t>
      </w:r>
    </w:p>
    <w:p>
      <w:bookmarkStart w:id="117" w:name="note_8_18"/>
      <w:pPr>
        <w:pStyle w:val="SourceNote"/>
      </w:pPr>
      <w:bookmarkEnd w:id="117"/>
      <w:r>
        <w:rPr>
          <w:b/>
        </w:rPr>
        <w:t xml:space="preserve">8.18  </w:t>
      </w:r>
      <w:hyperlink r:id="rId135">
        <w:r>
          <w:rPr>
            <w:color w:val="214F70"/>
            <w:sz w:val="20"/>
          </w:rPr>
          <w:t xml:space="preserve">People v. Trump, Appellate Division, First Department, 2025 NY Slip Op 04756, August 21, 2025.</w:t>
        </w:r>
      </w:hyperlink>
      <w:r>
        <w:t xml:space="preserve"> Operative disposition vacates disgorgement awards in their entirety and sanctions against counsel, and otherwise affirms. Read the separate opinions as well as the disposition.</w:t>
      </w:r>
      <w:r>
        <w:t xml:space="preserve"> </w:t>
      </w:r>
      <w:hyperlink r:id="rId136">
        <w:r>
          <w:rPr>
            <w:color w:val="214F70"/>
            <w:sz w:val="20"/>
          </w:rPr>
          <w:t xml:space="preserve">CBS News, New York attorney general seeks further review of civil-fraud penalty ruling, September 4, 2025.</w:t>
        </w:r>
      </w:hyperlink>
      <w:r>
        <w:t xml:space="preserve"> Used for the fact that further review was sought. This manuscript did not verify a later final merits disposition.</w:t>
      </w:r>
    </w:p>
    <w:p>
      <w:pPr>
        <w:pStyle w:val="Heading2"/>
      </w:pPr>
      <w:r>
        <w:t>Chapter 9</w:t>
      </w:r>
    </w:p>
    <w:p>
      <w:bookmarkStart w:id="118" w:name="note_9_1"/>
      <w:pPr>
        <w:pStyle w:val="SourceNote"/>
      </w:pPr>
      <w:bookmarkEnd w:id="118"/>
      <w:r>
        <w:rPr>
          <w:b/>
        </w:rPr>
        <w:t xml:space="preserve">9.1  </w:t>
      </w:r>
      <w:hyperlink r:id="rId137">
        <w:r>
          <w:rPr>
            <w:color w:val="214F70"/>
            <w:sz w:val="20"/>
          </w:rPr>
          <w:t xml:space="preserve">National Archives, 2024 Electoral College Results.</w:t>
        </w:r>
      </w:hyperlink>
      <w:r>
        <w:t xml:space="preserve"> </w:t>
      </w:r>
      <w:hyperlink r:id="rId138">
        <w:r>
          <w:rPr>
            <w:color w:val="214F70"/>
            <w:sz w:val="20"/>
          </w:rPr>
          <w:t xml:space="preserve">Federal Election Commission, Official 2024 Presidential General Election Results.</w:t>
        </w:r>
      </w:hyperlink>
    </w:p>
    <w:p>
      <w:bookmarkStart w:id="119" w:name="note_9_2"/>
      <w:pPr>
        <w:pStyle w:val="SourceNote"/>
      </w:pPr>
      <w:bookmarkEnd w:id="119"/>
      <w:r>
        <w:rPr>
          <w:b/>
        </w:rPr>
        <w:t xml:space="preserve">9.2  </w:t>
      </w:r>
      <w:hyperlink r:id="rId139">
        <w:r>
          <w:rPr>
            <w:color w:val="214F70"/>
            <w:sz w:val="20"/>
          </w:rPr>
          <w:t xml:space="preserve">Presidential proclamation granting pardons and commutations for specified January 6 offenses, January 20, 2025, DCPD-202500112.</w:t>
        </w:r>
      </w:hyperlink>
    </w:p>
    <w:p>
      <w:bookmarkStart w:id="120" w:name="note_9_3"/>
      <w:pPr>
        <w:pStyle w:val="SourceNote"/>
      </w:pPr>
      <w:bookmarkEnd w:id="120"/>
      <w:r>
        <w:rPr>
          <w:b/>
        </w:rPr>
        <w:t xml:space="preserve">9.3  </w:t>
      </w:r>
      <w:hyperlink r:id="rId140">
        <w:r>
          <w:rPr>
            <w:color w:val="214F70"/>
            <w:sz w:val="20"/>
          </w:rPr>
          <w:t xml:space="preserve">DHS, fiscal 2026 border announcement, October 16, 2026.</w:t>
        </w:r>
      </w:hyperlink>
      <w:r>
        <w:t xml:space="preserve"> The agency figure was retrieved through indexed reporting/republication; direct retrieval of the full DHS page was blocked. It is attributed to DHS rather than described as an independently audited count.</w:t>
      </w:r>
      <w:r>
        <w:t xml:space="preserve"> </w:t>
      </w:r>
      <w:hyperlink r:id="rId141">
        <w:r>
          <w:rPr>
            <w:color w:val="214F70"/>
            <w:sz w:val="20"/>
          </w:rPr>
          <w:t xml:space="preserve">PublicNow republication of DHS fiscal 2026 announcement, October 16, 2026.</w:t>
        </w:r>
      </w:hyperlink>
      <w:r>
        <w:t xml:space="preserve"> Indexed extract reports 98,708 apprehensions between ports of entry at the southwest border.</w:t>
      </w:r>
    </w:p>
    <w:p>
      <w:bookmarkStart w:id="121" w:name="note_9_4"/>
      <w:pPr>
        <w:pStyle w:val="SourceNote"/>
      </w:pPr>
      <w:bookmarkEnd w:id="121"/>
      <w:r>
        <w:rPr>
          <w:b/>
        </w:rPr>
        <w:t xml:space="preserve">9.4  </w:t>
      </w:r>
      <w:hyperlink r:id="rId142">
        <w:r>
          <w:rPr>
            <w:color w:val="214F70"/>
            <w:sz w:val="20"/>
          </w:rPr>
          <w:t xml:space="preserve">CBP, December 2024 monthly update (indexed republication).</w:t>
        </w:r>
      </w:hyperlink>
      <w:r>
        <w:t xml:space="preserve"> Describes substantial declines during the second half of 2024, before the second inauguration.</w:t>
      </w:r>
    </w:p>
    <w:p>
      <w:bookmarkStart w:id="122" w:name="note_9_5"/>
      <w:pPr>
        <w:pStyle w:val="SourceNote"/>
      </w:pPr>
      <w:bookmarkEnd w:id="122"/>
      <w:r>
        <w:rPr>
          <w:b/>
        </w:rPr>
        <w:t xml:space="preserve">9.5  </w:t>
      </w:r>
      <w:hyperlink r:id="rId143">
        <w:r>
          <w:rPr>
            <w:color w:val="214F70"/>
            <w:sz w:val="20"/>
          </w:rPr>
          <w:t xml:space="preserve">Trump v. CASA, Supreme Court, June 27, 2025.</w:t>
        </w:r>
      </w:hyperlink>
      <w:r>
        <w:t xml:space="preserve"> Universal-injunction ruling; not a decision on the ultimate citizenship merits.</w:t>
      </w:r>
    </w:p>
    <w:p>
      <w:bookmarkStart w:id="123" w:name="note_9_6"/>
      <w:pPr>
        <w:pStyle w:val="SourceNote"/>
      </w:pPr>
      <w:bookmarkEnd w:id="123"/>
      <w:r>
        <w:rPr>
          <w:b/>
        </w:rPr>
        <w:t xml:space="preserve">9.6  </w:t>
      </w:r>
      <w:hyperlink r:id="rId144">
        <w:r>
          <w:rPr>
            <w:color w:val="214F70"/>
            <w:sz w:val="20"/>
          </w:rPr>
          <w:t xml:space="preserve">Trump v. Barbara, Supreme Court, June 30, 2026.</w:t>
        </w:r>
      </w:hyperlink>
    </w:p>
    <w:p>
      <w:bookmarkStart w:id="124" w:name="note_9_7"/>
      <w:pPr>
        <w:pStyle w:val="SourceNote"/>
      </w:pPr>
      <w:bookmarkEnd w:id="124"/>
      <w:r>
        <w:rPr>
          <w:b/>
        </w:rPr>
        <w:t xml:space="preserve">9.7  </w:t>
      </w:r>
      <w:hyperlink r:id="rId145">
        <w:r>
          <w:rPr>
            <w:color w:val="214F70"/>
            <w:sz w:val="20"/>
          </w:rPr>
          <w:t xml:space="preserve">Learning Resources, Inc. v. Trump, Supreme Court, February 20, 2026.</w:t>
        </w:r>
      </w:hyperlink>
      <w:r>
        <w:t xml:space="preserve"> Concerns tariff authority under IEEPA, not every tariff statute.</w:t>
      </w:r>
    </w:p>
    <w:p>
      <w:bookmarkStart w:id="125" w:name="note_9_8"/>
      <w:pPr>
        <w:pStyle w:val="SourceNote"/>
      </w:pPr>
      <w:bookmarkEnd w:id="125"/>
      <w:r>
        <w:rPr>
          <w:b/>
        </w:rPr>
        <w:t xml:space="preserve">9.8  </w:t>
      </w:r>
      <w:hyperlink r:id="rId146">
        <w:r>
          <w:rPr>
            <w:color w:val="214F70"/>
            <w:sz w:val="20"/>
          </w:rPr>
          <w:t xml:space="preserve">USAFacts, tariff-revenue series based on Treasury fiscal data, accessed October 20, 2026.</w:t>
        </w:r>
      </w:hyperlink>
      <w:r>
        <w:t xml:space="preserve"> Fiscal-year receipts; net revenue after refunds must be distinguished from gross collections.</w:t>
      </w:r>
      <w:r>
        <w:t xml:space="preserve"> </w:t>
      </w:r>
      <w:hyperlink r:id="rId147">
        <w:r>
          <w:rPr>
            <w:color w:val="214F70"/>
            <w:sz w:val="20"/>
          </w:rPr>
          <w:t xml:space="preserve">Where My Taxes Go, federal tariff revenue series based on Treasury data.</w:t>
        </w:r>
      </w:hyperlink>
      <w:r>
        <w:t xml:space="preserve"> Used for the approximate fiscal 2024 comparison, not an independent causal estimate.</w:t>
      </w:r>
    </w:p>
    <w:p>
      <w:bookmarkStart w:id="126" w:name="note_9_9"/>
      <w:pPr>
        <w:pStyle w:val="SourceNote"/>
      </w:pPr>
      <w:bookmarkEnd w:id="126"/>
      <w:r>
        <w:rPr>
          <w:b/>
        </w:rPr>
        <w:t xml:space="preserve">9.9  </w:t>
      </w:r>
      <w:hyperlink r:id="rId148">
        <w:r>
          <w:rPr>
            <w:color w:val="214F70"/>
            <w:sz w:val="20"/>
          </w:rPr>
          <w:t xml:space="preserve">Congressional Budget Office, Monthly Budget Review, October 8, 2026.</w:t>
        </w:r>
      </w:hyperlink>
      <w:r>
        <w:t xml:space="preserve"> The relevant indexed extract reported an approximately $22 billion / 11 percent decline in customs revenue and refunds beginning in May. Full PDF retrieval was blocked in this review.</w:t>
      </w:r>
      <w:r>
        <w:t xml:space="preserve"> </w:t>
      </w:r>
      <w:hyperlink r:id="rId149">
        <w:r>
          <w:rPr>
            <w:color w:val="214F70"/>
            <w:sz w:val="20"/>
          </w:rPr>
          <w:t xml:space="preserve">Reuters, U.S. fiscal 2026 deficit and Treasury receipts report, October 16, 2026.</w:t>
        </w:r>
      </w:hyperlink>
    </w:p>
    <w:p>
      <w:bookmarkStart w:id="127" w:name="note_9_10"/>
      <w:pPr>
        <w:pStyle w:val="SourceNote"/>
      </w:pPr>
      <w:bookmarkEnd w:id="127"/>
      <w:r>
        <w:rPr>
          <w:b/>
        </w:rPr>
        <w:t xml:space="preserve">9.10  </w:t>
      </w:r>
      <w:hyperlink r:id="rId150">
        <w:r>
          <w:rPr>
            <w:color w:val="214F70"/>
            <w:sz w:val="20"/>
          </w:rPr>
          <w:t xml:space="preserve">BLS, Consumer Price Index—September 2026, released October 14, 2026.</w:t>
        </w:r>
      </w:hyperlink>
      <w:r>
        <w:t xml:space="preserve"> Monthly changes cited are seasonally adjusted; twelve-month changes are unadjusted.</w:t>
      </w:r>
    </w:p>
    <w:p>
      <w:bookmarkStart w:id="128" w:name="note_9_11"/>
      <w:pPr>
        <w:pStyle w:val="SourceNote"/>
      </w:pPr>
      <w:bookmarkEnd w:id="128"/>
      <w:r>
        <w:rPr>
          <w:b/>
        </w:rPr>
        <w:t xml:space="preserve">9.11  </w:t>
      </w:r>
      <w:hyperlink r:id="rId151">
        <w:r>
          <w:rPr>
            <w:color w:val="214F70"/>
            <w:sz w:val="20"/>
          </w:rPr>
          <w:t xml:space="preserve">BLS, Employment Situation—September 2026, released October 2, 2026.</w:t>
        </w:r>
      </w:hyperlink>
      <w:r>
        <w:t xml:space="preserve"> Preliminary release vintage; subject to revisions.</w:t>
      </w:r>
    </w:p>
    <w:p>
      <w:bookmarkStart w:id="129" w:name="note_9_12"/>
      <w:pPr>
        <w:pStyle w:val="SourceNote"/>
      </w:pPr>
      <w:bookmarkEnd w:id="129"/>
      <w:r>
        <w:rPr>
          <w:b/>
        </w:rPr>
        <w:t xml:space="preserve">9.12  </w:t>
      </w:r>
      <w:hyperlink r:id="rId152">
        <w:r>
          <w:rPr>
            <w:color w:val="214F70"/>
            <w:sz w:val="20"/>
          </w:rPr>
          <w:t xml:space="preserve">EIA, Short-Term Energy Outlook, October 2026.</w:t>
        </w:r>
      </w:hyperlink>
      <w:r>
        <w:t xml:space="preserve"> Full-year 2026 figures in the narrative are forecasts, not completed annual observations.</w:t>
      </w:r>
    </w:p>
    <w:p>
      <w:bookmarkStart w:id="130" w:name="note_9_13"/>
      <w:pPr>
        <w:pStyle w:val="SourceNote"/>
      </w:pPr>
      <w:bookmarkEnd w:id="130"/>
      <w:r>
        <w:rPr>
          <w:b/>
        </w:rPr>
        <w:t xml:space="preserve">9.13  </w:t>
      </w:r>
      <w:hyperlink r:id="rId153">
        <w:r>
          <w:rPr>
            <w:color w:val="214F70"/>
            <w:sz w:val="20"/>
          </w:rPr>
          <w:t xml:space="preserve">Public Law 119-21, July 4, 2025.</w:t>
        </w:r>
      </w:hyperlink>
      <w:r>
        <w:t xml:space="preserve"> </w:t>
      </w:r>
      <w:hyperlink r:id="rId154">
        <w:r>
          <w:rPr>
            <w:color w:val="214F70"/>
            <w:sz w:val="20"/>
          </w:rPr>
          <w:t xml:space="preserve">White House, statement on the reconciliation law, July 4, 2025.</w:t>
        </w:r>
      </w:hyperlink>
      <w:r>
        <w:t xml:space="preserve"> Administration’s stated purposes and claimed benefits.</w:t>
      </w:r>
    </w:p>
    <w:p>
      <w:bookmarkStart w:id="131" w:name="note_9_14"/>
      <w:pPr>
        <w:pStyle w:val="SourceNote"/>
      </w:pPr>
      <w:bookmarkEnd w:id="131"/>
      <w:r>
        <w:rPr>
          <w:b/>
        </w:rPr>
        <w:t xml:space="preserve">9.14  </w:t>
      </w:r>
      <w:hyperlink r:id="rId155">
        <w:r>
          <w:rPr>
            <w:color w:val="214F70"/>
            <w:sz w:val="20"/>
          </w:rPr>
          <w:t xml:space="preserve">CBO, estimated budgetary effects of Public Law 119-21, 2025.</w:t>
        </w:r>
      </w:hyperlink>
      <w:r>
        <w:t xml:space="preserve"> Approximately $3.4 trillion in additional deficits over 2025–2034 relative to the specified baseline; a projection.</w:t>
      </w:r>
      <w:r>
        <w:t xml:space="preserve"> </w:t>
      </w:r>
      <w:hyperlink r:id="rId156">
        <w:r>
          <w:rPr>
            <w:color w:val="214F70"/>
            <w:sz w:val="20"/>
          </w:rPr>
          <w:t xml:space="preserve">CBO, debt-service effects associated with the 2025 reconciliation legislation.</w:t>
        </w:r>
      </w:hyperlink>
    </w:p>
    <w:p>
      <w:bookmarkStart w:id="132" w:name="note_9_15"/>
      <w:pPr>
        <w:pStyle w:val="SourceNote"/>
      </w:pPr>
      <w:bookmarkEnd w:id="132"/>
      <w:r>
        <w:rPr>
          <w:b/>
        </w:rPr>
        <w:t xml:space="preserve">9.15  </w:t>
      </w:r>
      <w:hyperlink r:id="rId157">
        <w:r>
          <w:rPr>
            <w:color w:val="214F70"/>
            <w:sz w:val="20"/>
          </w:rPr>
          <w:t xml:space="preserve">Office of Personnel Management, Fiscal Year 2025 Agency Financial Report.</w:t>
        </w:r>
      </w:hyperlink>
      <w:r>
        <w:t xml:space="preserve"> Agency-reported approximate workforce reduction in the context of retirement-services workload; not a reconciled October 2026 headcount.</w:t>
      </w:r>
    </w:p>
    <w:p>
      <w:bookmarkStart w:id="133" w:name="note_9_16"/>
      <w:pPr>
        <w:pStyle w:val="SourceNote"/>
      </w:pPr>
      <w:bookmarkEnd w:id="133"/>
      <w:r>
        <w:rPr>
          <w:b/>
        </w:rPr>
        <w:t xml:space="preserve">9.16  </w:t>
      </w:r>
      <w:hyperlink r:id="rId158">
        <w:r>
          <w:rPr>
            <w:color w:val="214F70"/>
            <w:sz w:val="20"/>
          </w:rPr>
          <w:t xml:space="preserve">Reuters, judge extends White House access for CNN, MS NOW, and Politico amid legal dispute, October 14, 2026.</w:t>
        </w:r>
      </w:hyperlink>
      <w:r>
        <w:t xml:space="preserve"> Preliminary relief; ongoing litigation.</w:t>
      </w:r>
    </w:p>
    <w:p>
      <w:bookmarkStart w:id="134" w:name="note_9_17"/>
      <w:pPr>
        <w:pStyle w:val="SourceNote"/>
      </w:pPr>
      <w:bookmarkEnd w:id="134"/>
      <w:r>
        <w:rPr>
          <w:b/>
        </w:rPr>
        <w:t xml:space="preserve">9.17  </w:t>
      </w:r>
      <w:hyperlink r:id="rId159">
        <w:r>
          <w:rPr>
            <w:color w:val="214F70"/>
            <w:sz w:val="20"/>
          </w:rPr>
          <w:t xml:space="preserve">U.S. defense department, “Defense Agency Contributed Toward Operation Midnight Hammer Success,” 2025.</w:t>
        </w:r>
      </w:hyperlink>
      <w:r>
        <w:t xml:space="preserve"> Official operational account; does not independently establish permanent elimination of Iran’s nuclear capability.</w:t>
      </w:r>
    </w:p>
    <w:p>
      <w:bookmarkStart w:id="135" w:name="note_9_18"/>
      <w:pPr>
        <w:pStyle w:val="SourceNote"/>
      </w:pPr>
      <w:bookmarkEnd w:id="135"/>
      <w:r>
        <w:rPr>
          <w:b/>
        </w:rPr>
        <w:t xml:space="preserve">9.18  </w:t>
      </w:r>
      <w:hyperlink r:id="rId160">
        <w:r>
          <w:rPr>
            <w:color w:val="214F70"/>
            <w:sz w:val="20"/>
          </w:rPr>
          <w:t xml:space="preserve">U.S. Central Command, official description of Operation Epic Fury and its commencement, accessed October 20, 2026.</w:t>
        </w:r>
      </w:hyperlink>
      <w:r>
        <w:t xml:space="preserve"> Official statement of operation and objectives.</w:t>
      </w:r>
    </w:p>
    <w:p>
      <w:bookmarkStart w:id="136" w:name="note_9_19"/>
      <w:pPr>
        <w:pStyle w:val="SourceNote"/>
      </w:pPr>
      <w:bookmarkEnd w:id="136"/>
      <w:r>
        <w:rPr>
          <w:b/>
        </w:rPr>
        <w:t xml:space="preserve">9.19  </w:t>
      </w:r>
      <w:hyperlink r:id="rId161">
        <w:r>
          <w:rPr>
            <w:color w:val="214F70"/>
            <w:sz w:val="20"/>
          </w:rPr>
          <w:t xml:space="preserve">Reuters, “Six consequences of six months of war with Iran,” August 27, 2026.</w:t>
        </w:r>
      </w:hyperlink>
      <w:r>
        <w:t xml:space="preserve"> </w:t>
      </w:r>
      <w:hyperlink r:id="rId162">
        <w:r>
          <w:rPr>
            <w:color w:val="214F70"/>
            <w:sz w:val="20"/>
          </w:rPr>
          <w:t xml:space="preserve">Reuters, Iran talks stalemate and U.S. midterms, October 20, 2026.</w:t>
        </w:r>
      </w:hyperlink>
      <w:r>
        <w:t xml:space="preserve"> Officials’ accounts of negotiating intentions remain attributed reporting.</w:t>
      </w:r>
    </w:p>
    <w:p>
      <w:bookmarkStart w:id="137" w:name="note_9_20"/>
      <w:pPr>
        <w:pStyle w:val="SourceNote"/>
      </w:pPr>
      <w:bookmarkEnd w:id="137"/>
      <w:r>
        <w:rPr>
          <w:b/>
        </w:rPr>
        <w:t xml:space="preserve">9.20  </w:t>
      </w:r>
      <w:hyperlink r:id="rId163">
        <w:r>
          <w:rPr>
            <w:color w:val="214F70"/>
            <w:sz w:val="20"/>
          </w:rPr>
          <w:t xml:space="preserve">White House, Operation Absolute Resolve, January 3, 2026, official photo record.</w:t>
        </w:r>
      </w:hyperlink>
      <w:r>
        <w:t xml:space="preserve"> </w:t>
      </w:r>
      <w:hyperlink r:id="rId164">
        <w:r>
          <w:rPr>
            <w:color w:val="214F70"/>
            <w:sz w:val="20"/>
          </w:rPr>
          <w:t xml:space="preserve">Donald Trump, statement on U.S. action in Venezuela, January 3, 2026, Miller Center transcript.</w:t>
        </w:r>
      </w:hyperlink>
      <w:r>
        <w:t xml:space="preserve"> Primary evidence of Trump’s explanation; not a merits verdict against the captured leader.</w:t>
      </w:r>
    </w:p>
    <w:p>
      <w:bookmarkStart w:id="138" w:name="note_9_21"/>
      <w:pPr>
        <w:pStyle w:val="SourceNote"/>
      </w:pPr>
      <w:bookmarkEnd w:id="138"/>
      <w:r>
        <w:rPr>
          <w:b/>
        </w:rPr>
        <w:t xml:space="preserve">9.21  </w:t>
      </w:r>
      <w:hyperlink r:id="rId165">
        <w:r>
          <w:rPr>
            <w:color w:val="214F70"/>
            <w:sz w:val="20"/>
          </w:rPr>
          <w:t xml:space="preserve">Reuters, Trump–Rodríguez meeting and negotiations, September 22, 2026.</w:t>
        </w:r>
      </w:hyperlink>
      <w:r>
        <w:t xml:space="preserve"> </w:t>
      </w:r>
      <w:hyperlink r:id="rId166">
        <w:r>
          <w:rPr>
            <w:color w:val="214F70"/>
            <w:sz w:val="20"/>
          </w:rPr>
          <w:t xml:space="preserve">Reuters, Venezuelan officials’ oil-investment expectations, October 17, 2026.</w:t>
        </w:r>
      </w:hyperlink>
      <w:r>
        <w:t xml:space="preserve"> Announced expectations are not completed investment.</w:t>
      </w:r>
    </w:p>
    <w:p>
      <w:bookmarkStart w:id="139" w:name="note_9_22"/>
      <w:pPr>
        <w:pStyle w:val="SourceNote"/>
      </w:pPr>
      <w:bookmarkEnd w:id="139"/>
      <w:r>
        <w:rPr>
          <w:b/>
        </w:rPr>
        <w:t xml:space="preserve">9.22  </w:t>
      </w:r>
      <w:hyperlink r:id="rId167">
        <w:r>
          <w:rPr>
            <w:color w:val="214F70"/>
            <w:sz w:val="20"/>
          </w:rPr>
          <w:t xml:space="preserve">Reuters, Ukraine energy-strike/ceasefire reporting, October 11, 2026.</w:t>
        </w:r>
      </w:hyperlink>
      <w:r>
        <w:t xml:space="preserve"> Contemporaneous implementation and confirmation limits are retained.</w:t>
      </w:r>
    </w:p>
    <w:p>
      <w:bookmarkStart w:id="140" w:name="note_9_23"/>
      <w:pPr>
        <w:pStyle w:val="SourceNote"/>
      </w:pPr>
      <w:bookmarkEnd w:id="140"/>
      <w:r>
        <w:rPr>
          <w:b/>
        </w:rPr>
        <w:t xml:space="preserve">9.23  </w:t>
      </w:r>
      <w:hyperlink r:id="rId168">
        <w:r>
          <w:rPr>
            <w:color w:val="214F70"/>
            <w:sz w:val="20"/>
          </w:rPr>
          <w:t xml:space="preserve">Reuters, Rubio on continuing Ukraine–Russia negotiations, October 19, 2026.</w:t>
        </w:r>
      </w:hyperlink>
    </w:p>
    <w:p>
      <w:bookmarkStart w:id="141" w:name="note_9_24"/>
      <w:pPr>
        <w:pStyle w:val="SourceNote"/>
      </w:pPr>
      <w:bookmarkEnd w:id="141"/>
      <w:r>
        <w:rPr>
          <w:b/>
        </w:rPr>
        <w:t xml:space="preserve">9.24  </w:t>
      </w:r>
      <w:hyperlink r:id="rId169">
        <w:r>
          <w:rPr>
            <w:color w:val="214F70"/>
            <w:sz w:val="20"/>
          </w:rPr>
          <w:t xml:space="preserve">Reuters/Ipsos, October 16–19, 2026 survey topline.</w:t>
        </w:r>
      </w:hyperlink>
      <w:r>
        <w:t xml:space="preserve"> Adults n=1,679; registered voters n=1,279. Initial ballot responses and responses including leaners are separate measures.</w:t>
      </w:r>
    </w:p>
    <w:p>
      <w:bookmarkStart w:id="142" w:name="note_9_25"/>
      <w:pPr>
        <w:pStyle w:val="SourceNote"/>
      </w:pPr>
      <w:bookmarkEnd w:id="142"/>
      <w:r>
        <w:rPr>
          <w:b/>
        </w:rPr>
        <w:t xml:space="preserve">9.25  </w:t>
      </w:r>
      <w:hyperlink r:id="rId170">
        <w:r>
          <w:rPr>
            <w:color w:val="214F70"/>
            <w:sz w:val="20"/>
          </w:rPr>
          <w:t xml:space="preserve">ABC News/Washington Post/Ipsos, October 20, 2026 topline.</w:t>
        </w:r>
      </w:hyperlink>
      <w:r>
        <w:t xml:space="preserve"> Separate survey and sample; not pooled with Reuters/Ipsos.</w:t>
      </w:r>
    </w:p>
    <w:p>
      <w:bookmarkStart w:id="143" w:name="note_9_26"/>
      <w:pPr>
        <w:pStyle w:val="SourceNote"/>
      </w:pPr>
      <w:bookmarkEnd w:id="143"/>
      <w:r>
        <w:rPr>
          <w:b/>
        </w:rPr>
        <w:t xml:space="preserve">9.26  </w:t>
      </w:r>
      <w:hyperlink r:id="rId169">
        <w:r>
          <w:rPr>
            <w:color w:val="214F70"/>
            <w:sz w:val="20"/>
          </w:rPr>
          <w:t xml:space="preserve">Reuters/Ipsos, October 16–19, 2026 survey topline.</w:t>
        </w:r>
      </w:hyperlink>
      <w:r>
        <w:t xml:space="preserve"> Adults n=1,679; registered voters n=1,279. Initial ballot responses and responses including leaners are separate measures.</w:t>
      </w:r>
    </w:p>
    <w:p>
      <w:pPr>
        <w:pStyle w:val="Heading2"/>
      </w:pPr>
      <w:r>
        <w:t>Chapter 10</w:t>
      </w:r>
    </w:p>
    <w:p>
      <w:bookmarkStart w:id="144" w:name="note_10_1"/>
      <w:pPr>
        <w:pStyle w:val="SourceNote"/>
      </w:pPr>
      <w:bookmarkEnd w:id="144"/>
      <w:r>
        <w:rPr>
          <w:b/>
        </w:rPr>
        <w:t xml:space="preserve">10.1  </w:t>
      </w:r>
      <w:r>
        <w:t>Synthesis of Chapters 1–3 and 8, particularly notes 1.8–1.11, 2.2–2.5, 3.1–3.3, and 8.17. This is an interpretation of the compared records, not a quotation or an additional judicial finding.</w:t>
      </w:r>
    </w:p>
    <w:p>
      <w:bookmarkStart w:id="145" w:name="note_10_2"/>
      <w:pPr>
        <w:pStyle w:val="SourceNote"/>
      </w:pPr>
      <w:bookmarkEnd w:id="145"/>
      <w:r>
        <w:rPr>
          <w:b/>
        </w:rPr>
        <w:t xml:space="preserve">10.2  </w:t>
      </w:r>
      <w:r>
        <w:t>See notes 1.1–1.3, 1.8–1.9, and 2.8. The family-transfer estimate is reported analysis; the broader conclusion about access to resources is a synthesis.</w:t>
      </w:r>
    </w:p>
    <w:p>
      <w:bookmarkStart w:id="146" w:name="note_10_3"/>
      <w:pPr>
        <w:pStyle w:val="SourceNote"/>
      </w:pPr>
      <w:bookmarkEnd w:id="146"/>
      <w:r>
        <w:rPr>
          <w:b/>
        </w:rPr>
        <w:t xml:space="preserve">10.3  </w:t>
      </w:r>
      <w:r>
        <w:t>See notes 6.2, 6.18–6.19, 7.2–7.8, and 9.5–9.7. The description of a recurring institutional pattern is an inference from these cases.</w:t>
      </w:r>
    </w:p>
    <w:p>
      <w:bookmarkStart w:id="147" w:name="note_10_4"/>
      <w:pPr>
        <w:pStyle w:val="SourceNote"/>
      </w:pPr>
      <w:bookmarkEnd w:id="147"/>
      <w:r>
        <w:rPr>
          <w:b/>
        </w:rPr>
        <w:t xml:space="preserve">10.4  </w:t>
      </w:r>
      <w:r>
        <w:t>See Chapter 4, especially notes 4.7–4.14, for verdict terminology, payment, security, and review status.</w:t>
      </w:r>
    </w:p>
    <w:p>
      <w:bookmarkStart w:id="148" w:name="note_10_5"/>
      <w:pPr>
        <w:pStyle w:val="SourceNote"/>
      </w:pPr>
      <w:bookmarkEnd w:id="148"/>
      <w:r>
        <w:rPr>
          <w:b/>
        </w:rPr>
        <w:t xml:space="preserve">10.5  </w:t>
      </w:r>
      <w:r>
        <w:t>See Chapter 8, especially notes 8.1, 8.4–8.5, 8.7–8.14. Different procedural dispositions are not interchangeable.</w:t>
      </w:r>
    </w:p>
    <w:p>
      <w:bookmarkStart w:id="149" w:name="note_10_6"/>
      <w:pPr>
        <w:pStyle w:val="SourceNote"/>
      </w:pPr>
      <w:bookmarkEnd w:id="149"/>
      <w:r>
        <w:rPr>
          <w:b/>
        </w:rPr>
        <w:t xml:space="preserve">10.6  </w:t>
      </w:r>
      <w:r>
        <w:t>See notes 6.5–6.7, 6.20–6.24, and 9.3–9.4. Observed changes are distinguished from exclusive causal attribution.</w:t>
      </w:r>
    </w:p>
    <w:sectPr w:rsidR="00FC693F" w:rsidRPr="0006063C" w:rsidSect="00034616">
      <w:headerReference w:type="default" r:id="rId9"/>
      <w:footerReference w:type="default" r:id="rId10"/>
      <w:pgSz w:w="12240" w:h="15840"/>
      <w:pgMar w:top="1224" w:right="1440" w:bottom="1224" w:left="1440"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draft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rPr>
      <w:t>THE RECORD  ·  DONALD J. TRUMP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60"/>
      <w:ind w:firstLine="288"/>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Times New Roman" w:hAnsi="Times New Roman"/>
      <w:color w:val="444444"/>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Times New Roman" w:hAnsi="Times New Roman"/>
      <w:color w:val="444444"/>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40"/>
      <w:ind w:firstLine="0"/>
      <w:outlineLvl w:val="0"/>
    </w:pPr>
    <w:rPr>
      <w:rFonts w:ascii="Times New Roman" w:hAnsi="Times New Roman"/>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240"/>
      <w:ind w:firstLine="0"/>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240"/>
      <w:ind w:firstLine="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200"/>
      <w:ind w:firstLine="0"/>
      <w:contextualSpacing/>
    </w:pPr>
    <w:rPr>
      <w:rFonts w:ascii="Times New Roman" w:hAnsi="Times New Roman"/>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240"/>
      <w:ind w:firstLine="0"/>
    </w:pPr>
    <w:rPr>
      <w:rFonts w:ascii="Times New Roman" w:hAnsi="Times New Roman"/>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widowControl/>
      <w:spacing w:line="269" w:lineRule="auto" w:after="160"/>
      <w:ind w:left="461" w:hanging="461"/>
    </w:pPr>
    <w:rPr>
      <w:sz w:val="20"/>
    </w:rPr>
  </w:style>
  <w:style w:type="paragraph" w:customStyle="1" w:styleId="Edition">
    <w:name w:val="Edition"/>
    <w:basedOn w:val="Normal"/>
    <w:pPr>
      <w:widowControl/>
      <w:spacing w:line="288" w:lineRule="auto" w:after="160"/>
      <w:ind w:firstLine="0"/>
    </w:pPr>
    <w:rPr>
      <w:sz w:val="22"/>
    </w:rPr>
  </w:style>
  <w:style w:type="paragraph" w:customStyle="1" w:styleId="ChapterLabel">
    <w:name w:val="Chapter Label"/>
    <w:basedOn w:val="Normal"/>
    <w:pPr>
      <w:keepNext/>
      <w:widowControl/>
      <w:spacing w:line="240" w:lineRule="auto" w:after="160"/>
      <w:ind w:firstLine="0"/>
    </w:pPr>
    <w:rPr>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itehousehistory.org/donald-j-trump" TargetMode="External"/><Relationship Id="rId12" Type="http://schemas.openxmlformats.org/officeDocument/2006/relationships/hyperlink" Target="https://millercenter.org/president/trump/family-life" TargetMode="External"/><Relationship Id="rId13" Type="http://schemas.openxmlformats.org/officeDocument/2006/relationships/hyperlink" Target="https://millercenter.org/president/trump/life-presidency" TargetMode="External"/><Relationship Id="rId14" Type="http://schemas.openxmlformats.org/officeDocument/2006/relationships/hyperlink" Target="https://archive.ph/o7Vl6" TargetMode="External"/><Relationship Id="rId15" Type="http://schemas.openxmlformats.org/officeDocument/2006/relationships/hyperlink" Target="https://clearinghouse.net/case/15342/" TargetMode="External"/><Relationship Id="rId16" Type="http://schemas.openxmlformats.org/officeDocument/2006/relationships/hyperlink" Target="https://www.pbs.org/wgbh/frontline/interactive/clinton-trump-keys-to-their-characters/pdf/trump-fha-complaint.pdf" TargetMode="External"/><Relationship Id="rId17" Type="http://schemas.openxmlformats.org/officeDocument/2006/relationships/hyperlink" Target="https://clearinghouse-umich-production.s3.amazonaws.com/media/doc/82991.pdf" TargetMode="External"/><Relationship Id="rId18" Type="http://schemas.openxmlformats.org/officeDocument/2006/relationships/hyperlink" Target="https://clearinghouse-umich-production.s3.amazonaws.com/media/doc/83283.pdf" TargetMode="External"/><Relationship Id="rId19" Type="http://schemas.openxmlformats.org/officeDocument/2006/relationships/hyperlink" Target="https://clearinghouse-umich-production.s3.amazonaws.com/media/doc/83293.pdf" TargetMode="External"/><Relationship Id="rId20" Type="http://schemas.openxmlformats.org/officeDocument/2006/relationships/hyperlink" Target="https://www.trump.com/leadership/donald-j-trump-biography/hello" TargetMode="External"/><Relationship Id="rId21" Type="http://schemas.openxmlformats.org/officeDocument/2006/relationships/hyperlink" Target="https://www.washingtonpost.com/archive/politics/1986/11/14/ny-falls-down-on-job-and-gets-a-lesson-in-rinkmanship/6836a6b9-7410-4102-80f6-c012cd5ad15c/" TargetMode="External"/><Relationship Id="rId22" Type="http://schemas.openxmlformats.org/officeDocument/2006/relationships/hyperlink" Target="https://rollcall.com/factbase/trump/transcript/donald-trump-interview-david-letterman-late-show-nbc-december-2-1987" TargetMode="External"/><Relationship Id="rId23" Type="http://schemas.openxmlformats.org/officeDocument/2006/relationships/hyperlink" Target="https://abcnews.com/Politics/atlantic-city-beachgoers-talk-trumps-legacy-casino-owner/story?id=42289901" TargetMode="External"/><Relationship Id="rId24" Type="http://schemas.openxmlformats.org/officeDocument/2006/relationships/hyperlink" Target="https://www.sec.gov/Archives/edgar/data/1006918/000119312505067270/d10k.htm" TargetMode="External"/><Relationship Id="rId25" Type="http://schemas.openxmlformats.org/officeDocument/2006/relationships/hyperlink" Target="https://www.sec.gov/Archives/edgar/data/1849635/000114036125004822/ef20039039_10k.htm" TargetMode="External"/><Relationship Id="rId26" Type="http://schemas.openxmlformats.org/officeDocument/2006/relationships/hyperlink" Target="https://apnews.com/article/6776621902cf44c1cec9a13fc6a8cd78" TargetMode="External"/><Relationship Id="rId27" Type="http://schemas.openxmlformats.org/officeDocument/2006/relationships/hyperlink" Target="https://apnews.com/article/add9ff1ff9f72ddba482410f46070977" TargetMode="External"/><Relationship Id="rId28" Type="http://schemas.openxmlformats.org/officeDocument/2006/relationships/hyperlink" Target="https://www.latimes.com/archives/la-xpm-2004-apr-21-et-tvratingstext21-story.html" TargetMode="External"/><Relationship Id="rId29" Type="http://schemas.openxmlformats.org/officeDocument/2006/relationships/hyperlink" Target="https://www.sec.gov/newsroom/press-releases/2002-6-sec-brings-first-pro-forma-financial-reporting-case" TargetMode="External"/><Relationship Id="rId30" Type="http://schemas.openxmlformats.org/officeDocument/2006/relationships/hyperlink" Target="https://www.sec.gov/enforcement-litigation/administrative-proceedings/34-45287" TargetMode="External"/><Relationship Id="rId31" Type="http://schemas.openxmlformats.org/officeDocument/2006/relationships/hyperlink" Target="https://www.courthousenews.com/wp-content/uploads/2017/03/Trump-U-Settlement-FINAL.pdf" TargetMode="External"/><Relationship Id="rId32" Type="http://schemas.openxmlformats.org/officeDocument/2006/relationships/hyperlink" Target="https://www.pressherald.com/2016/06/07/gonzalo-curiel/" TargetMode="External"/><Relationship Id="rId33" Type="http://schemas.openxmlformats.org/officeDocument/2006/relationships/hyperlink" Target="https://www.courthousenews.com/trump-signs-25m-deal-to-snuff-fraud-suits/" TargetMode="External"/><Relationship Id="rId34" Type="http://schemas.openxmlformats.org/officeDocument/2006/relationships/hyperlink" Target="https://www.govinfo.gov/content/pkg/USCOURTS-ca9-17-55635/pdf/USCOURTS-ca9-17-55635-0.pdf" TargetMode="External"/><Relationship Id="rId35" Type="http://schemas.openxmlformats.org/officeDocument/2006/relationships/hyperlink" Target="https://www.courthousenews.com/trump-u-settled/" TargetMode="External"/><Relationship Id="rId36" Type="http://schemas.openxmlformats.org/officeDocument/2006/relationships/hyperlink" Target="https://www.supremecourt.uk/cases/uksc-2015-0160" TargetMode="External"/><Relationship Id="rId37" Type="http://schemas.openxmlformats.org/officeDocument/2006/relationships/hyperlink" Target="https://ag.ny.gov/press-release/2019/ag-james-secures-court-order-against-donald-j-trump-trump-children-and-trump" TargetMode="External"/><Relationship Id="rId38" Type="http://schemas.openxmlformats.org/officeDocument/2006/relationships/hyperlink" Target="https://ag.ny.gov/press-release/2019/donald-j-trump-pays-court-ordered-2-million-illegally-using-trump-foundation" TargetMode="External"/><Relationship Id="rId39" Type="http://schemas.openxmlformats.org/officeDocument/2006/relationships/hyperlink" Target="https://www.thewrap.com/donald-trump-apologizes-for-lewd-remarks-i-pledge-to-be-a-better-man-tomorrow/" TargetMode="External"/><Relationship Id="rId40" Type="http://schemas.openxmlformats.org/officeDocument/2006/relationships/hyperlink" Target="https://www.pbs.org/newshour/show/trump-faces-civil-trial-in-rape-and-defamation-case-brought-by-writer-e-jean-carroll" TargetMode="External"/><Relationship Id="rId41" Type="http://schemas.openxmlformats.org/officeDocument/2006/relationships/hyperlink" Target="https://abcnews.com/Politics/trump-denies-sexual-assault-claim-accuser-wouldnt-chosen/story?id=113458776" TargetMode="External"/><Relationship Id="rId42" Type="http://schemas.openxmlformats.org/officeDocument/2006/relationships/hyperlink" Target="https://apnews.com/article/258bc0b64f79afe4b199b077cf1a82a2" TargetMode="External"/><Relationship Id="rId43" Type="http://schemas.openxmlformats.org/officeDocument/2006/relationships/hyperlink" Target="https://www.supremecourt.gov/DocketPDF/25/25-573/384069/20251110150010381_Petition%20and%20Appendix.pdf" TargetMode="External"/><Relationship Id="rId44" Type="http://schemas.openxmlformats.org/officeDocument/2006/relationships/hyperlink" Target="https://www.reuters.com/world/us/former-apprentice-contestant-zervos-ends-lawsuit-against-donald-trump-2021-11-12/" TargetMode="External"/><Relationship Id="rId45" Type="http://schemas.openxmlformats.org/officeDocument/2006/relationships/hyperlink" Target="https://law.justia.com/cases/federal/district-courts/new-york/nysdce/1%3A2022cv10016/590045/212/" TargetMode="External"/><Relationship Id="rId46" Type="http://schemas.openxmlformats.org/officeDocument/2006/relationships/hyperlink" Target="https://www.supremecourt.gov/docket/docketfiles/html/public/25-573.html" TargetMode="External"/><Relationship Id="rId47" Type="http://schemas.openxmlformats.org/officeDocument/2006/relationships/hyperlink" Target="https://abcnews.com/Politics/supreme-court-rejects-final-trump-appeal-5-million/story?id=135707525" TargetMode="External"/><Relationship Id="rId48" Type="http://schemas.openxmlformats.org/officeDocument/2006/relationships/hyperlink" Target="https://abcnews.com/US/judge-orders-trump-pay-jean-carroll-5-million/story?id=134591703" TargetMode="External"/><Relationship Id="rId49" Type="http://schemas.openxmlformats.org/officeDocument/2006/relationships/hyperlink" Target="https://apnews.com/article/d587004df6f7c46ec4a17b563a38bfa9" TargetMode="External"/><Relationship Id="rId50" Type="http://schemas.openxmlformats.org/officeDocument/2006/relationships/hyperlink" Target="https://www.supremecourt.gov/DocketPDF/26/26-141/417484/20260728152024760_26-%20Petition.pdf" TargetMode="External"/><Relationship Id="rId51" Type="http://schemas.openxmlformats.org/officeDocument/2006/relationships/hyperlink" Target="https://www.supremecourt.gov/docket/docketfiles/html/public/26-141.html" TargetMode="External"/><Relationship Id="rId52" Type="http://schemas.openxmlformats.org/officeDocument/2006/relationships/hyperlink" Target="https://www.pbs.org/newshour/politics/appeals-court-says-trump-doesnt-have-to-pay-83-million-to-e-jean-carroll-for-now" TargetMode="External"/><Relationship Id="rId53" Type="http://schemas.openxmlformats.org/officeDocument/2006/relationships/hyperlink" Target="https://www.justice.gov/osg/media/1457311/dl?inline=" TargetMode="External"/><Relationship Id="rId54" Type="http://schemas.openxmlformats.org/officeDocument/2006/relationships/hyperlink" Target="https://www.justice.gov/usao-sdny/pr/michael-cohen-pleads-guilty-manhattan-federal-court-eight-counts-including-criminal-tax" TargetMode="External"/><Relationship Id="rId55" Type="http://schemas.openxmlformats.org/officeDocument/2006/relationships/hyperlink" Target="https://manhattanda.org/d-a-bragg-announces-34-count-felony-trial-conviction-of-donald-j-trump/" TargetMode="External"/><Relationship Id="rId56" Type="http://schemas.openxmlformats.org/officeDocument/2006/relationships/hyperlink" Target="https://obamawhitehouse.archives.gov/blog/2011/04/27/president-obamas-long-form-birth-certificate" TargetMode="External"/><Relationship Id="rId57" Type="http://schemas.openxmlformats.org/officeDocument/2006/relationships/hyperlink" Target="https://www.p2016.org/trump/trump061615sp.html" TargetMode="External"/><Relationship Id="rId58" Type="http://schemas.openxmlformats.org/officeDocument/2006/relationships/hyperlink" Target="https://www.presidency.ucsb.edu/documents/trump-campaign-press-release-donald-trump-presidential-announcement" TargetMode="External"/><Relationship Id="rId59" Type="http://schemas.openxmlformats.org/officeDocument/2006/relationships/hyperlink" Target="https://www.justice.gov/storage/120919-examination.pdf" TargetMode="External"/><Relationship Id="rId60" Type="http://schemas.openxmlformats.org/officeDocument/2006/relationships/hyperlink" Target="https://oig.justice.gov/archives/reports/fbi.htm" TargetMode="External"/><Relationship Id="rId61" Type="http://schemas.openxmlformats.org/officeDocument/2006/relationships/hyperlink" Target="https://www.justice.gov/storage/durhamreport.pdf" TargetMode="External"/><Relationship Id="rId62" Type="http://schemas.openxmlformats.org/officeDocument/2006/relationships/hyperlink" Target="https://www.intelligence.senate.gov/sites/default/files/documents/report_volume5.pdf" TargetMode="External"/><Relationship Id="rId63" Type="http://schemas.openxmlformats.org/officeDocument/2006/relationships/hyperlink" Target="https://www.intelligence.senate.gov/2020/08/18/press-rubio-statement-senate-intel-release-volume-5-bipartisan-russia-report/" TargetMode="External"/><Relationship Id="rId64" Type="http://schemas.openxmlformats.org/officeDocument/2006/relationships/hyperlink" Target="https://www.fec.gov/data/legal/matter-under-review/7324/" TargetMode="External"/><Relationship Id="rId65" Type="http://schemas.openxmlformats.org/officeDocument/2006/relationships/hyperlink" Target="https://www.fec.gov/data/legal/matter-under-review/7366/" TargetMode="External"/><Relationship Id="rId66" Type="http://schemas.openxmlformats.org/officeDocument/2006/relationships/hyperlink" Target="https://www.justice.gov/d9/press-releases/attachments/2018/08/21/u.s._v._michael_cohen_information_0.pdf" TargetMode="External"/><Relationship Id="rId67" Type="http://schemas.openxmlformats.org/officeDocument/2006/relationships/hyperlink" Target="https://www.fec.gov/documents/1889/federalelections2016.pdf" TargetMode="External"/><Relationship Id="rId68" Type="http://schemas.openxmlformats.org/officeDocument/2006/relationships/hyperlink" Target="https://www.archives.gov/electoral-college/2016" TargetMode="External"/><Relationship Id="rId69" Type="http://schemas.openxmlformats.org/officeDocument/2006/relationships/hyperlink" Target="https://www.supremecourt.gov/opinions/17pdf/17-965_h315.pdf" TargetMode="External"/><Relationship Id="rId70" Type="http://schemas.openxmlformats.org/officeDocument/2006/relationships/hyperlink" Target="https://www.lankford.senate.gov/news/press-releases/senator-lankford-statement-on-senates-failure-to-repeal-and-replace-obamacare/" TargetMode="External"/><Relationship Id="rId71" Type="http://schemas.openxmlformats.org/officeDocument/2006/relationships/hyperlink" Target="https://www.congress.gov/115/plaws/publ97/PLAW-115publ97.pdf" TargetMode="External"/><Relationship Id="rId72" Type="http://schemas.openxmlformats.org/officeDocument/2006/relationships/hyperlink" Target="https://www.cbo.gov/publication/53651" TargetMode="External"/><Relationship Id="rId73" Type="http://schemas.openxmlformats.org/officeDocument/2006/relationships/hyperlink" Target="https://www.cbo.gov/publication/54994" TargetMode="External"/><Relationship Id="rId74" Type="http://schemas.openxmlformats.org/officeDocument/2006/relationships/hyperlink" Target="https://www.bls.gov/news.release/archives/empsit_01102020.htm" TargetMode="External"/><Relationship Id="rId75" Type="http://schemas.openxmlformats.org/officeDocument/2006/relationships/hyperlink" Target="https://www.bea.gov/sites/default/files/2020-01/gdp4q19_adv_0.pdf" TargetMode="External"/><Relationship Id="rId76" Type="http://schemas.openxmlformats.org/officeDocument/2006/relationships/hyperlink" Target="https://www.census.gov/newsroom/press-releases/2020/income-poverty.html" TargetMode="External"/><Relationship Id="rId77" Type="http://schemas.openxmlformats.org/officeDocument/2006/relationships/hyperlink" Target="https://www.usitc.gov/publications/332/pub5405.pdf" TargetMode="External"/><Relationship Id="rId78" Type="http://schemas.openxmlformats.org/officeDocument/2006/relationships/hyperlink" Target="https://www.usitc.gov/press_room/news_release/2023/er0315_63679.htm" TargetMode="External"/><Relationship Id="rId79" Type="http://schemas.openxmlformats.org/officeDocument/2006/relationships/hyperlink" Target="https://www.ustr.gov/trade-agreements/free-trade-agreements/united-states-mexico-canada-agreement" TargetMode="External"/><Relationship Id="rId80" Type="http://schemas.openxmlformats.org/officeDocument/2006/relationships/hyperlink" Target="https://www.hsgac.senate.gov/wp-content/uploads/imo/media/doc/Testimony-Morgan-2019-11-13.pdf" TargetMode="External"/><Relationship Id="rId81" Type="http://schemas.openxmlformats.org/officeDocument/2006/relationships/hyperlink" Target="https://www.gao.gov/products/gao-19-163" TargetMode="External"/><Relationship Id="rId82" Type="http://schemas.openxmlformats.org/officeDocument/2006/relationships/hyperlink" Target="https://www.gao.gov/products/gao-20-245" TargetMode="External"/><Relationship Id="rId83" Type="http://schemas.openxmlformats.org/officeDocument/2006/relationships/hyperlink" Target="https://www.eia.gov/energyexplained/us-energy-facts/imports-and-exports.php" TargetMode="External"/><Relationship Id="rId84" Type="http://schemas.openxmlformats.org/officeDocument/2006/relationships/hyperlink" Target="https://2017-2021.state.gov/united-states-national-statement-at-unfccc-cop25/" TargetMode="External"/><Relationship Id="rId85" Type="http://schemas.openxmlformats.org/officeDocument/2006/relationships/hyperlink" Target="https://www.justice.gov/archives/sco/file/1373816/dl?inline=" TargetMode="External"/><Relationship Id="rId86" Type="http://schemas.openxmlformats.org/officeDocument/2006/relationships/hyperlink" Target="https://www.justice.gov/archives/opa/speech/special-counsel-robert-s-mueller-iii-makes-statement-investigation-russian-interference" TargetMode="External"/><Relationship Id="rId87" Type="http://schemas.openxmlformats.org/officeDocument/2006/relationships/hyperlink" Target="https://www.justice.gov/archives/opa/speech/attorney-general-william-p-barr-delivers-remarks-release-report-investigation-russian" TargetMode="External"/><Relationship Id="rId88" Type="http://schemas.openxmlformats.org/officeDocument/2006/relationships/hyperlink" Target="https://static.c-spanvideo.org/files/pressCenter/Ukraine-Memo.pdf" TargetMode="External"/><Relationship Id="rId89" Type="http://schemas.openxmlformats.org/officeDocument/2006/relationships/hyperlink" Target="https://www.gao.gov/products/b-331564" TargetMode="External"/><Relationship Id="rId90" Type="http://schemas.openxmlformats.org/officeDocument/2006/relationships/hyperlink" Target="https://www.dailypress.senate.gov/wednesday-february-5-2020/" TargetMode="External"/><Relationship Id="rId91" Type="http://schemas.openxmlformats.org/officeDocument/2006/relationships/hyperlink" Target="https://trumpwhitehouse.archives.gov/briefings-statements/remarks-president-trump-vice-president-pence-members-coronavirus-task-force-press-conference/" TargetMode="External"/><Relationship Id="rId92" Type="http://schemas.openxmlformats.org/officeDocument/2006/relationships/hyperlink" Target="https://files.gao.gov/reports/GAO-21-265/index.html" TargetMode="External"/><Relationship Id="rId93" Type="http://schemas.openxmlformats.org/officeDocument/2006/relationships/hyperlink" Target="https://www.gao.gov/products/gao-21-319" TargetMode="External"/><Relationship Id="rId94" Type="http://schemas.openxmlformats.org/officeDocument/2006/relationships/hyperlink" Target="https://www.fda.gov/news-events/congressional-testimony/leading-way-forward-biden-administration-actions-increase-covid-19-vaccinations-03172021" TargetMode="External"/><Relationship Id="rId95" Type="http://schemas.openxmlformats.org/officeDocument/2006/relationships/hyperlink" Target="https://www.cdc.gov/mmwr/volumes/71/wr/mm7117e1.htm" TargetMode="External"/><Relationship Id="rId96" Type="http://schemas.openxmlformats.org/officeDocument/2006/relationships/hyperlink" Target="https://www.bls.gov/news.release/archives/empsit_01082021.htm" TargetMode="External"/><Relationship Id="rId97" Type="http://schemas.openxmlformats.org/officeDocument/2006/relationships/hyperlink" Target="https://www.bea.gov/news/2021/gross-domestic-product-4th-quarter-and-year-2020-advance-estimate" TargetMode="External"/><Relationship Id="rId98" Type="http://schemas.openxmlformats.org/officeDocument/2006/relationships/hyperlink" Target="https://2017-2021.state.gov/the-abraham-accords/" TargetMode="External"/><Relationship Id="rId99" Type="http://schemas.openxmlformats.org/officeDocument/2006/relationships/hyperlink" Target="https://trumpwhitehouse.archives.gov/briefings-statements/president-donald-j-trump-ending-united-states-participation-unacceptable-iran-deal/" TargetMode="External"/><Relationship Id="rId100" Type="http://schemas.openxmlformats.org/officeDocument/2006/relationships/hyperlink" Target="https://trumpwhitehouse.archives.gov/briefings-statements/joint-statement-president-donald-j-trump-united-states-america-chairman-kim-jong-un-democratic-peoples-republic-korea-singapore-summit/" TargetMode="External"/><Relationship Id="rId101" Type="http://schemas.openxmlformats.org/officeDocument/2006/relationships/hyperlink" Target="https://trumpwhitehouse.archives.gov/briefings-statements/united-states-brought-leader-isis-justice/" TargetMode="External"/><Relationship Id="rId102" Type="http://schemas.openxmlformats.org/officeDocument/2006/relationships/hyperlink" Target="https://2017-2021.state.gov/agreement-for-bringing-peace-to-afghanistan/" TargetMode="External"/><Relationship Id="rId103" Type="http://schemas.openxmlformats.org/officeDocument/2006/relationships/hyperlink" Target="https://www.uscourts.gov/sites/default/files/2025-01/apptsbypres.pdf" TargetMode="External"/><Relationship Id="rId104" Type="http://schemas.openxmlformats.org/officeDocument/2006/relationships/hyperlink" Target="https://www.bop.gov/inmates/fsa/overview.jsp" TargetMode="External"/><Relationship Id="rId105" Type="http://schemas.openxmlformats.org/officeDocument/2006/relationships/hyperlink" Target="https://www.archives.gov/electoral-college/2020" TargetMode="External"/><Relationship Id="rId106" Type="http://schemas.openxmlformats.org/officeDocument/2006/relationships/hyperlink" Target="https://www.govinfo.gov/content/pkg/GPO-J6-REPORT/html-submitted/ch1.html" TargetMode="External"/><Relationship Id="rId107" Type="http://schemas.openxmlformats.org/officeDocument/2006/relationships/hyperlink" Target="https://law.justia.com/cases/federal/appellate-courts/ca3/20-3371/20-3371-2020-11-27.html" TargetMode="External"/><Relationship Id="rId108" Type="http://schemas.openxmlformats.org/officeDocument/2006/relationships/hyperlink" Target="https://www.supremecourt.gov/docket/docketfiles/html/public/22o155.html" TargetMode="External"/><Relationship Id="rId109" Type="http://schemas.openxmlformats.org/officeDocument/2006/relationships/hyperlink" Target="https://sos.ga.gov/news/historic-first-statewide-audit-paper-ballots-upholds-result-presidential-race" TargetMode="External"/><Relationship Id="rId110" Type="http://schemas.openxmlformats.org/officeDocument/2006/relationships/hyperlink" Target="https://www.govinfo.gov/content/pkg/GPO-J6-REPORT/html-submitted/ch2.html" TargetMode="External"/><Relationship Id="rId111" Type="http://schemas.openxmlformats.org/officeDocument/2006/relationships/hyperlink" Target="https://www.govinfo.gov/content/pkg/GPO-J6-REPORT/html-submitted/ch4.html" TargetMode="External"/><Relationship Id="rId112" Type="http://schemas.openxmlformats.org/officeDocument/2006/relationships/hyperlink" Target="https://www.govinfo.gov/content/pkg/GPO-J6-REPORT/html-submitted/ch3.html" TargetMode="External"/><Relationship Id="rId113" Type="http://schemas.openxmlformats.org/officeDocument/2006/relationships/hyperlink" Target="https://www.govinfo.gov/content/pkg/GPO-J6-REPORT/html-submitted/ch5.html" TargetMode="External"/><Relationship Id="rId114" Type="http://schemas.openxmlformats.org/officeDocument/2006/relationships/hyperlink" Target="https://www.govinfo.gov/content/pkg/CREC-2021-01-13/html/CREC-2021-01-13-pt1-PgH165.htm" TargetMode="External"/><Relationship Id="rId115" Type="http://schemas.openxmlformats.org/officeDocument/2006/relationships/hyperlink" Target="https://www.govinfo.gov/content/pkg/GPO-J6-REPORT/html-submitted/ch8.html" TargetMode="External"/><Relationship Id="rId116" Type="http://schemas.openxmlformats.org/officeDocument/2006/relationships/hyperlink" Target="https://www.govinfo.gov/content/pkg/CREC-2021-02-10/html/CREC-2021-02-10-pt1-PgS615-4.htm" TargetMode="External"/><Relationship Id="rId117" Type="http://schemas.openxmlformats.org/officeDocument/2006/relationships/hyperlink" Target="https://www.hsgac.senate.gov/library/files/hsgac-rules-report-examining-the-u-s-capitol-attack/" TargetMode="External"/><Relationship Id="rId118" Type="http://schemas.openxmlformats.org/officeDocument/2006/relationships/hyperlink" Target="https://www.govinfo.gov/content/pkg/CREC-2021-02-13/html/CREC-2021-02-13-pt1-PgS717-2.htm" TargetMode="External"/><Relationship Id="rId119" Type="http://schemas.openxmlformats.org/officeDocument/2006/relationships/hyperlink" Target="https://www.senate.gov/legislative/LIS/floor_activity/2021/02_13_2021_Senate_Floor.htm" TargetMode="External"/><Relationship Id="rId120" Type="http://schemas.openxmlformats.org/officeDocument/2006/relationships/hyperlink" Target="https://www.govinfo.gov/content/pkg/GPO-J6-REPORT/html-submitted/index.html" TargetMode="External"/><Relationship Id="rId121" Type="http://schemas.openxmlformats.org/officeDocument/2006/relationships/hyperlink" Target="https://law.justia.com/cases/new-york/other-courts/2025/2025-ny-slip-op-30014-u.html" TargetMode="External"/><Relationship Id="rId122" Type="http://schemas.openxmlformats.org/officeDocument/2006/relationships/hyperlink" Target="https://indianexpress.com/article/world/trump-appeals-new-york-felony-conviction-in-hush-money-case-10332582/" TargetMode="External"/><Relationship Id="rId123" Type="http://schemas.openxmlformats.org/officeDocument/2006/relationships/hyperlink" Target="https://www.nysd.uscourts.gov/sites/default/files/2026-08/127140240515.pdf" TargetMode="External"/><Relationship Id="rId124" Type="http://schemas.openxmlformats.org/officeDocument/2006/relationships/hyperlink" Target="https://www.justice.gov/archives/sco-smith" TargetMode="External"/><Relationship Id="rId125" Type="http://schemas.openxmlformats.org/officeDocument/2006/relationships/hyperlink" Target="https://www.judicialwatch.org/wp-content/uploads/2024/07/US-v.-Trump-July-15-2024-Order.pdf" TargetMode="External"/><Relationship Id="rId126" Type="http://schemas.openxmlformats.org/officeDocument/2006/relationships/hyperlink" Target="https://abcnews.com/US/court-dismisses-appeal-trumps-classified-documents-case/story?id=118689312" TargetMode="External"/><Relationship Id="rId127" Type="http://schemas.openxmlformats.org/officeDocument/2006/relationships/hyperlink" Target="https://www.justice.gov/storage/Report-of-Special-Counsel-Smith-Volume-1-January-2025.pdf" TargetMode="External"/><Relationship Id="rId128" Type="http://schemas.openxmlformats.org/officeDocument/2006/relationships/hyperlink" Target="https://www.supremecourt.gov/opinions/23pdf/23-939_e2pg.pdf" TargetMode="External"/><Relationship Id="rId129" Type="http://schemas.openxmlformats.org/officeDocument/2006/relationships/hyperlink" Target="https://shaferdefense.com/wp-content/uploads/2025/11/State-v.-Trump-et-al.-Nolle-Pros-and-Exhibit-A_filed.pdf" TargetMode="External"/><Relationship Id="rId130" Type="http://schemas.openxmlformats.org/officeDocument/2006/relationships/hyperlink" Target="https://www.gpb.org/news/2025/11/26/new-prosecutor-wont-pursue-charges-against-trump-and-others-in-georgia-election" TargetMode="External"/><Relationship Id="rId131" Type="http://schemas.openxmlformats.org/officeDocument/2006/relationships/hyperlink" Target="https://manhattanda.org/district-attorney-bragg-announces-all-count-trial-convictions-of-the-trump-corporation-and-the-trump-payroll-corp/" TargetMode="External"/><Relationship Id="rId132" Type="http://schemas.openxmlformats.org/officeDocument/2006/relationships/hyperlink" Target="https://manhattanda.org/d-a-bragg-trump-corporation-trump-payroll-corp-sentenced-to-pay-maximum-fines-under-law-following-felony-trial-conviction/" TargetMode="External"/><Relationship Id="rId133" Type="http://schemas.openxmlformats.org/officeDocument/2006/relationships/hyperlink" Target="https://manhattanda.org/d-a-bragg-allen-weisselberg-sentenced-to-5-months-in-jail/" TargetMode="External"/><Relationship Id="rId134" Type="http://schemas.openxmlformats.org/officeDocument/2006/relationships/hyperlink" Target="https://ag.ny.gov/sites/default/files/decisions/trump-decision.pdf" TargetMode="External"/><Relationship Id="rId135" Type="http://schemas.openxmlformats.org/officeDocument/2006/relationships/hyperlink" Target="https://www.nycourts.gov/reporter/3dseries/2025/2025_04756.htm" TargetMode="External"/><Relationship Id="rId136" Type="http://schemas.openxmlformats.org/officeDocument/2006/relationships/hyperlink" Target="https://www.cbsnews.com/news/new-york-trump-civil-fraud-attorney-general-appeal/" TargetMode="External"/><Relationship Id="rId137" Type="http://schemas.openxmlformats.org/officeDocument/2006/relationships/hyperlink" Target="https://www.archives.gov/electoral-college/2024" TargetMode="External"/><Relationship Id="rId138" Type="http://schemas.openxmlformats.org/officeDocument/2006/relationships/hyperlink" Target="https://www.fec.gov/documents/5644/2024presgeresults.pdf" TargetMode="External"/><Relationship Id="rId139" Type="http://schemas.openxmlformats.org/officeDocument/2006/relationships/hyperlink" Target="https://www.govinfo.gov/content/pkg/DCPD-202500112/html/DCPD-202500112.htm" TargetMode="External"/><Relationship Id="rId140" Type="http://schemas.openxmlformats.org/officeDocument/2006/relationships/hyperlink" Target="https://www.dhs.gov/news/2026/10/16/under-president-trump-and-secretary-mullin-dhs-announces-lowest-fiscal-year-border" TargetMode="External"/><Relationship Id="rId141" Type="http://schemas.openxmlformats.org/officeDocument/2006/relationships/hyperlink" Target="https://ebs.publicnow.com/view/E972B9EB1E563A146DEAB6C4F086FA02D5669CA9" TargetMode="External"/><Relationship Id="rId142" Type="http://schemas.openxmlformats.org/officeDocument/2006/relationships/hyperlink" Target="https://ltnr.ca/morty/?mortyurl=https%3A%2F%2Fwww.cbp.gov%2Fnewsroom%2Fnational-media-release%2Fcbp-releases-december-2024-monthly-update" TargetMode="External"/><Relationship Id="rId143" Type="http://schemas.openxmlformats.org/officeDocument/2006/relationships/hyperlink" Target="https://www.supremecourt.gov/opinions/24pdf/24a884_8n59.pdf" TargetMode="External"/><Relationship Id="rId144" Type="http://schemas.openxmlformats.org/officeDocument/2006/relationships/hyperlink" Target="https://www.supremecourt.gov/opinions/25pdf/25-365_4hdj.pdf" TargetMode="External"/><Relationship Id="rId145" Type="http://schemas.openxmlformats.org/officeDocument/2006/relationships/hyperlink" Target="https://www.supremecourt.gov/opinions/25pdf/24-1287_4gcj.pdf" TargetMode="External"/><Relationship Id="rId146" Type="http://schemas.openxmlformats.org/officeDocument/2006/relationships/hyperlink" Target="https://usafacts.org/answers/how-much-revenue-does-the-federal-government-collect-from-tariffs/country/united-states/" TargetMode="External"/><Relationship Id="rId147" Type="http://schemas.openxmlformats.org/officeDocument/2006/relationships/hyperlink" Target="https://www.wheremytaxesgo.com/federal-revenue/tariffs/" TargetMode="External"/><Relationship Id="rId148" Type="http://schemas.openxmlformats.org/officeDocument/2006/relationships/hyperlink" Target="https://www.cbo.gov/system/files/2026-10/61985-MBR.pdf" TargetMode="External"/><Relationship Id="rId149" Type="http://schemas.openxmlformats.org/officeDocument/2006/relationships/hyperlink" Target="https://www.reuters.com/world/us/us-fiscal-2026-budget-deficit-rises-199-trillion-largest-5-years-2026-10-16/" TargetMode="External"/><Relationship Id="rId150" Type="http://schemas.openxmlformats.org/officeDocument/2006/relationships/hyperlink" Target="https://www.bls.gov/news.release/archives/cpi_10142026.htm" TargetMode="External"/><Relationship Id="rId151" Type="http://schemas.openxmlformats.org/officeDocument/2006/relationships/hyperlink" Target="https://www.bls.gov/news.release/archives/empsit_10022026.htm" TargetMode="External"/><Relationship Id="rId152" Type="http://schemas.openxmlformats.org/officeDocument/2006/relationships/hyperlink" Target="https://www.eia.gov/outlooks/steo/archives/oct26.pdf" TargetMode="External"/><Relationship Id="rId153" Type="http://schemas.openxmlformats.org/officeDocument/2006/relationships/hyperlink" Target="https://www.congress.gov/119/plaws/publ21/PLAW-119publ21.pdf" TargetMode="External"/><Relationship Id="rId154" Type="http://schemas.openxmlformats.org/officeDocument/2006/relationships/hyperlink" Target="https://www.whitehouse.gov/releases/2025/07/president-trumps-one-big-beautiful-bill-is-now-the-law/" TargetMode="External"/><Relationship Id="rId155" Type="http://schemas.openxmlformats.org/officeDocument/2006/relationships/hyperlink" Target="https://www.cbo.gov/publication/61570" TargetMode="External"/><Relationship Id="rId156" Type="http://schemas.openxmlformats.org/officeDocument/2006/relationships/hyperlink" Target="https://www.cbo.gov/publication/61466" TargetMode="External"/><Relationship Id="rId157" Type="http://schemas.openxmlformats.org/officeDocument/2006/relationships/hyperlink" Target="https://www.opm.gov/about-us/reports-publications/agency-archive/2025-agency-financial-report.pdf" TargetMode="External"/><Relationship Id="rId158" Type="http://schemas.openxmlformats.org/officeDocument/2006/relationships/hyperlink" Target="https://www.reuters.com/world/judge-extends-white-house-access-cnn-ms-now-politico-amid-legal-fight-2026-10-14/" TargetMode="External"/><Relationship Id="rId159" Type="http://schemas.openxmlformats.org/officeDocument/2006/relationships/hyperlink" Target="https://www.war.gov/serve-from-netstorage/News/News-Stories/Article/Article/4240876/defense-agency-contributed-toward-operation-midnight-hammer-success/index.html" TargetMode="External"/><Relationship Id="rId160" Type="http://schemas.openxmlformats.org/officeDocument/2006/relationships/hyperlink" Target="https://www.centcom.mil/ABOUT-US/" TargetMode="External"/><Relationship Id="rId161" Type="http://schemas.openxmlformats.org/officeDocument/2006/relationships/hyperlink" Target="https://www.reuters.com/world/middle-east/six-consequences-six-months-war-iran-2026-08-27/" TargetMode="External"/><Relationship Id="rId162" Type="http://schemas.openxmlformats.org/officeDocument/2006/relationships/hyperlink" Target="https://www.reuters.com/world/us/iran-prolongs-talks-stalemate-influence-us-midterms-officials-say-2026-10-20/" TargetMode="External"/><Relationship Id="rId163" Type="http://schemas.openxmlformats.org/officeDocument/2006/relationships/hyperlink" Target="https://www.whitehouse.gov/gallery/operation-absolute-resolve-january-3-2026/" TargetMode="External"/><Relationship Id="rId164" Type="http://schemas.openxmlformats.org/officeDocument/2006/relationships/hyperlink" Target="https://millercenter.org/the-presidency/presidential-speeches/january-3-2026-statement-us-action-venezuela" TargetMode="External"/><Relationship Id="rId165" Type="http://schemas.openxmlformats.org/officeDocument/2006/relationships/hyperlink" Target="https://www.reuters.com/world/americas/trump-meet-venezuelas-rodriguez-first-time-since-maduros-capture-2026-09-22/" TargetMode="External"/><Relationship Id="rId166" Type="http://schemas.openxmlformats.org/officeDocument/2006/relationships/hyperlink" Target="https://www.reuters.com/business/energy/venezuela-expects-nearly-76-billion-oil-investment-over-five-years-acting-2026-10-17/" TargetMode="External"/><Relationship Id="rId167" Type="http://schemas.openxmlformats.org/officeDocument/2006/relationships/hyperlink" Target="https://www.reuters.com/world/europe/ukraine-will-halt-strikes-refineries-if-russia-stops-energy-attacks-zelenskiy-2026-10-11/" TargetMode="External"/><Relationship Id="rId168" Type="http://schemas.openxmlformats.org/officeDocument/2006/relationships/hyperlink" Target="https://www.reuters.com/world/china/rubio-says-ukraine-russia-should-be-focused-ending-war-2026-10-19/" TargetMode="External"/><Relationship Id="rId169" Type="http://schemas.openxmlformats.org/officeDocument/2006/relationships/hyperlink" Target="https://www.ipsos.com/sites/default/files/ct/news/documents/2026-10/Reuters%20Ipsos%20News%20Issue%20Survey%20October%202026%20Topline_3.pdf" TargetMode="External"/><Relationship Id="rId170" Type="http://schemas.openxmlformats.org/officeDocument/2006/relationships/hyperlink" Target="https://www.ipsos.com/sites/default/files/ct/news/documents/2026-10/ABC-Post-Ipsos%20Trend%20Topline%201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Record: Donald J. Trump in Documents, Outcomes, and Contested Claims</dc:title>
  <dc:subject>Ten-chapter research draft; evidence cutoff October 20, 2026</dc:subject>
  <dc:creator/>
  <cp:keywords>biography; documentary record; research draft; Donald Trump</cp:keywords>
  <dc:description>Shorter research draft; does not meet the requested 400–450-page scope.</dc:description>
  <cp:lastModifiedBy/>
  <cp:revision>1</cp:revision>
  <dcterms:created xsi:type="dcterms:W3CDTF">2013-12-23T23:15:00Z</dcterms:created>
  <dcterms:modified xsi:type="dcterms:W3CDTF">2013-12-23T23:15:00Z</dcterms:modified>
  <cp:category/>
</cp:coreProperties>
</file>