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widowControl/>
      </w:pPr>
      <w:r>
        <w:rPr>
          <w:rFonts w:ascii="Calibri" w:hAnsi="Calibri"/>
          <w:b/>
          <w:color w:val="7A5A00"/>
          <w:sz w:val="20"/>
        </w:rPr>
        <w:t>TECHNICAL VERIFICATION PAPER</w:t>
      </w:r>
    </w:p>
    <w:p>
      <w:pPr>
        <w:spacing w:after="160"/>
        <w:jc w:val="center"/>
        <w:widowControl/>
      </w:pPr>
      <w:r>
        <w:rPr>
          <w:rFonts w:ascii="Calibri Light" w:hAnsi="Calibri Light"/>
          <w:b/>
          <w:color w:val="0B2545"/>
          <w:sz w:val="46"/>
        </w:rPr>
        <w:t>Formal Theorems Extracted from the</w:t>
        <w:br/>
        <w:t>EFMW / Monolithic 102 Corpus</w:t>
      </w:r>
    </w:p>
    <w:p>
      <w:pPr>
        <w:spacing w:after="440"/>
        <w:jc w:val="center"/>
        <w:widowControl/>
      </w:pPr>
      <w:r>
        <w:rPr>
          <w:rFonts w:ascii="Calibri" w:hAnsi="Calibri"/>
          <w:i/>
          <w:color w:val="1F4D78"/>
          <w:sz w:val="26"/>
        </w:rPr>
        <w:t>Lean 4 verification of algebraic identifiability, null preservation,</w:t>
        <w:br/>
        <w:t>convergence failure, and recursive growth</w:t>
      </w:r>
    </w:p>
    <w:p>
      <w:pPr>
        <w:spacing w:after="60"/>
        <w:jc w:val="center"/>
        <w:widowControl/>
      </w:pPr>
      <w:r>
        <w:rPr>
          <w:rFonts w:ascii="Calibri" w:hAnsi="Calibri"/>
          <w:b/>
          <w:color w:val="0B2545"/>
          <w:sz w:val="24"/>
        </w:rPr>
        <w:t>Matthew Chenoweth Wright</w:t>
      </w:r>
    </w:p>
    <w:p>
      <w:pPr>
        <w:spacing w:after="40"/>
        <w:jc w:val="center"/>
        <w:widowControl/>
      </w:pPr>
      <w:r>
        <w:rPr>
          <w:rFonts w:ascii="Calibri" w:hAnsi="Calibri"/>
          <w:color w:val="5C6570"/>
          <w:sz w:val="21"/>
        </w:rPr>
        <w:t>Monolithic LLC</w:t>
      </w:r>
    </w:p>
    <w:p>
      <w:pPr>
        <w:spacing w:after="400"/>
        <w:jc w:val="center"/>
        <w:widowControl/>
      </w:pPr>
      <w:r>
        <w:rPr>
          <w:rFonts w:ascii="Calibri" w:hAnsi="Calibri"/>
          <w:color w:val="5C6570"/>
          <w:sz w:val="19"/>
        </w:rPr>
        <w:t>Version 1.0  |  3 September 2026  |  Technical preprint</w:t>
      </w:r>
    </w:p>
    <w:p>
      <w:pPr>
        <w:pStyle w:val="Heading1"/>
        <w:keepNext/>
        <w:widowControl/>
      </w:pPr>
      <w:r>
        <w:t>Abstract</w:t>
      </w:r>
    </w:p>
    <w:p>
      <w:pPr>
        <w:widowControl/>
      </w:pPr>
      <w:r>
        <w:rPr>
          <w:rFonts w:ascii="Calibri" w:hAnsi="Calibri"/>
          <w:sz w:val="22"/>
        </w:rPr>
        <w:t>This paper reports the first machine-checked theorem tranche extracted from the EFMW/Monolithic 102 equation corpus. Twelve Lean 4 theorem declarations were organized around five entries: ME-036, ME-037, ME-088, ME-096, and ME-101. The results establish four kinds of mathematical constraint. First, the paired cross-gradient terms in ME-036 and ME-037 collapse to a single effective coefficient when the underlying pairing is symmetric, creating a structural non-identifiability of the displayed parameters. Second, the ME-088 scalar-23 composition cannot transform a genuinely zero intermediate state into a nonzero state. Third, the condition in ME-096 is formally shown to be insufficient for convergence: harmonic partial sums have adjacent increments tending to zero while the sequence itself diverges. Fourth, the constant-gain recurrence in ME-101 has a linear closed form and tends to positive infinity whenever the per-step gain is positive. These are kernel-checked consequences of explicit mathematical assumptions. They are not evidence that the broader EFMW vocabulary denotes physical, cognitive, or biological mechanisms. The principal contribution is therefore both constructive and corrective: the formalization identifies valid algebraic consequences, exposes two no-go results, and specifies the extra structure needed for stronger EFMW claims.</w:t>
      </w:r>
    </w:p>
    <w:p>
      <w:pPr>
        <w:spacing w:before="40" w:after="200"/>
        <w:widowControl/>
      </w:pPr>
      <w:r>
        <w:rPr>
          <w:rFonts w:ascii="Calibri" w:hAnsi="Calibri"/>
          <w:b/>
          <w:color w:val="5C6570"/>
          <w:sz w:val="19"/>
        </w:rPr>
        <w:t xml:space="preserve">Keywords: </w:t>
      </w:r>
      <w:r>
        <w:rPr>
          <w:rFonts w:ascii="Calibri" w:hAnsi="Calibri"/>
          <w:i/>
          <w:color w:val="5C6570"/>
          <w:sz w:val="19"/>
        </w:rPr>
        <w:t>EFMW; Monolithic 102; Lean 4; formal verification; identifiability; convergence; recursive systems</w:t>
      </w:r>
    </w:p>
    <w:p>
      <w:pPr>
        <w:pStyle w:val="Heading1"/>
        <w:keepNext/>
        <w:widowControl/>
      </w:pPr>
      <w:r>
        <w:t>1. Introduction</w:t>
      </w:r>
    </w:p>
    <w:p>
      <w:pPr>
        <w:widowControl/>
      </w:pPr>
      <w:r>
        <w:rPr>
          <w:rFonts w:ascii="Calibri" w:hAnsi="Calibri"/>
          <w:sz w:val="22"/>
        </w:rPr>
        <w:t>The EFMW/Monolithic 102 corpus combines standard mathematical relations, engineering-style recurrences, analogical field equations, and speculative constructs in a single indexed set. Such a corpus can preserve useful intuitions, but formal rigor requires a sharper question: which conclusions actually follow from precisely stated assumptions? A theorem assistant is well suited to this question because it does not accept suggestive terminology, dimensional analogy, or internal narrative coherence as proof. It accepts only definitions and derivations that its kernel can check.</w:t>
      </w:r>
    </w:p>
    <w:p>
      <w:pPr>
        <w:widowControl/>
      </w:pPr>
      <w:r>
        <w:rPr>
          <w:rFonts w:ascii="Calibri" w:hAnsi="Calibri"/>
          <w:sz w:val="22"/>
        </w:rPr>
        <w:t>The present paper documents a focused theorem-extraction pass. The selected equations were not chosen because they were assumed to be the most important EFMW claims. They were chosen because their mathematical cores could be isolated without inventing missing physics or cognitive semantics. This distinction matters. A theorem about an abstract symmetric pairing is valid wherever its assumptions hold; it does not prove that a proposed cognitive field exists. A theorem about a real recurrence determines its growth law; it does not establish that identity is a real-valued state variable.</w:t>
      </w:r>
    </w:p>
    <w:p>
      <w:pPr>
        <w:widowControl/>
      </w:pPr>
      <w:r>
        <w:rPr>
          <w:rFonts w:ascii="Calibri" w:hAnsi="Calibri"/>
          <w:sz w:val="22"/>
        </w:rPr>
        <w:t>The tranche produces twelve declarations distributed across five equation modules. Several are elementary as mathematics. Their importance here is diagnostic: they convert informal claims into checkable propositions, reveal redundancy or insufficiency, and prevent the corpus from using a suggestive formula more strongly than its mathematics permits. The formal novelty is therefore the audited mapping from the EFMW expressions to machine-checked consequences, not a claim that the underlying algebraic facts are newly discovered.</w:t>
      </w:r>
    </w:p>
    <w:p>
      <w:pPr>
        <w:widowControl/>
      </w:pPr>
      <w:r>
        <w:br w:type="page"/>
      </w:r>
    </w:p>
    <w:p>
      <w:pPr>
        <w:pStyle w:val="Heading1"/>
        <w:keepNext/>
        <w:widowControl/>
      </w:pPr>
      <w:r>
        <w:t>2. Formalization policy and proof boundary</w:t>
      </w:r>
    </w:p>
    <w:p>
      <w:pPr>
        <w:widowControl/>
      </w:pPr>
      <w:r>
        <w:rPr>
          <w:rFonts w:ascii="Calibri" w:hAnsi="Calibri"/>
          <w:sz w:val="22"/>
        </w:rPr>
        <w:t>Four levels must remain separate. Canonical preservation records what an equation says. Typed formalization assigns exact domains and operators. Derivation proves that a proposition follows from stated assumptions. Scientific validation tests whether the model describes the world. The Lean results in this paper occupy the second and third levels only.</w:t>
      </w:r>
    </w:p>
    <w:tbl>
      <w:tblPr>
        <w:tblStyle w:val="TableGrid"/>
        <w:tblW w:type="dxa" w:w="9360"/>
        <w:jc w:val="left"/>
        <w:tblLayout w:type="fixed"/>
        <w:tblLook w:firstColumn="1" w:firstRow="1" w:lastColumn="0" w:lastRow="0" w:noHBand="0" w:noVBand="1" w:val="04A0"/>
        <w:tblInd w:w="120" w:type="dxa"/>
      </w:tblPr>
      <w:tblGrid>
        <w:gridCol w:w="1050"/>
        <w:gridCol w:w="2660"/>
        <w:gridCol w:w="1050"/>
        <w:gridCol w:w="4600"/>
      </w:tblGrid>
      <w:tr>
        <w:trPr>
          <w:tblHeader w:val="true"/>
          <w:cantSplit/>
        </w:trPr>
        <w:tc>
          <w:tcPr>
            <w:tcW w:type="dxa" w:w="1050"/>
            <w:shd w:fill="F2F4F7"/>
            <w:tcMar>
              <w:top w:w="80" w:type="dxa"/>
              <w:start w:w="120" w:type="dxa"/>
              <w:bottom w:w="80" w:type="dxa"/>
              <w:end w:w="120" w:type="dxa"/>
            </w:tcMar>
            <w:vAlign w:val="center"/>
          </w:tcPr>
          <w:p>
            <w:pPr>
              <w:spacing w:after="0" w:line="252" w:lineRule="auto"/>
              <w:jc w:val="center"/>
            </w:pPr>
            <w:r>
              <w:rPr>
                <w:rFonts w:ascii="Calibri" w:hAnsi="Calibri"/>
                <w:b/>
                <w:color w:val="0B2545"/>
                <w:sz w:val="18"/>
              </w:rPr>
              <w:t>Equation</w:t>
            </w:r>
          </w:p>
        </w:tc>
        <w:tc>
          <w:tcPr>
            <w:tcW w:type="dxa" w:w="2660"/>
            <w:shd w:fill="F2F4F7"/>
            <w:tcMar>
              <w:top w:w="80" w:type="dxa"/>
              <w:start w:w="120" w:type="dxa"/>
              <w:bottom w:w="80" w:type="dxa"/>
              <w:end w:w="120" w:type="dxa"/>
            </w:tcMar>
            <w:vAlign w:val="center"/>
          </w:tcPr>
          <w:p>
            <w:pPr>
              <w:spacing w:after="0" w:line="252" w:lineRule="auto"/>
              <w:jc w:val="center"/>
            </w:pPr>
            <w:r>
              <w:rPr>
                <w:rFonts w:ascii="Calibri" w:hAnsi="Calibri"/>
                <w:b/>
                <w:color w:val="0B2545"/>
                <w:sz w:val="18"/>
              </w:rPr>
              <w:t>Formal result</w:t>
            </w:r>
          </w:p>
        </w:tc>
        <w:tc>
          <w:tcPr>
            <w:tcW w:type="dxa" w:w="1050"/>
            <w:shd w:fill="F2F4F7"/>
            <w:tcMar>
              <w:top w:w="80" w:type="dxa"/>
              <w:start w:w="120" w:type="dxa"/>
              <w:bottom w:w="80" w:type="dxa"/>
              <w:end w:w="120" w:type="dxa"/>
            </w:tcMar>
            <w:vAlign w:val="center"/>
          </w:tcPr>
          <w:p>
            <w:pPr>
              <w:spacing w:after="0" w:line="252" w:lineRule="auto"/>
              <w:jc w:val="center"/>
            </w:pPr>
            <w:r>
              <w:rPr>
                <w:rFonts w:ascii="Calibri" w:hAnsi="Calibri"/>
                <w:b/>
                <w:color w:val="0B2545"/>
                <w:sz w:val="18"/>
              </w:rPr>
              <w:t>Status</w:t>
            </w:r>
          </w:p>
        </w:tc>
        <w:tc>
          <w:tcPr>
            <w:tcW w:type="dxa" w:w="4600"/>
            <w:shd w:fill="F2F4F7"/>
            <w:tcMar>
              <w:top w:w="80" w:type="dxa"/>
              <w:start w:w="120" w:type="dxa"/>
              <w:bottom w:w="80" w:type="dxa"/>
              <w:end w:w="120" w:type="dxa"/>
            </w:tcMar>
            <w:vAlign w:val="center"/>
          </w:tcPr>
          <w:p>
            <w:pPr>
              <w:spacing w:after="0" w:line="252" w:lineRule="auto"/>
              <w:jc w:val="center"/>
            </w:pPr>
            <w:r>
              <w:rPr>
                <w:rFonts w:ascii="Calibri" w:hAnsi="Calibri"/>
                <w:b/>
                <w:color w:val="0B2545"/>
                <w:sz w:val="18"/>
              </w:rPr>
              <w:t>Unresolved scientific scope</w:t>
            </w:r>
          </w:p>
        </w:tc>
      </w:tr>
      <w:tr>
        <w:trPr>
          <w:cantSplit/>
        </w:trPr>
        <w:tc>
          <w:tcPr>
            <w:tcW w:type="dxa" w:w="1050"/>
            <w:tcMar>
              <w:top w:w="80" w:type="dxa"/>
              <w:start w:w="120" w:type="dxa"/>
              <w:bottom w:w="80" w:type="dxa"/>
              <w:end w:w="120" w:type="dxa"/>
            </w:tcMar>
            <w:vAlign w:val="center"/>
          </w:tcPr>
          <w:p>
            <w:pPr>
              <w:spacing w:after="0" w:line="259" w:lineRule="auto"/>
              <w:jc w:val="center"/>
            </w:pPr>
            <w:r>
              <w:rPr>
                <w:rFonts w:ascii="Calibri" w:hAnsi="Calibri"/>
                <w:b/>
                <w:color w:val="0B2545"/>
                <w:sz w:val="17"/>
              </w:rPr>
              <w:t>ME-036</w:t>
            </w:r>
          </w:p>
        </w:tc>
        <w:tc>
          <w:tcPr>
            <w:tcW w:type="dxa" w:w="2660"/>
            <w:tcMar>
              <w:top w:w="80" w:type="dxa"/>
              <w:start w:w="120" w:type="dxa"/>
              <w:bottom w:w="80" w:type="dxa"/>
              <w:end w:w="120" w:type="dxa"/>
            </w:tcMar>
            <w:vAlign w:val="center"/>
          </w:tcPr>
          <w:p>
            <w:pPr>
              <w:spacing w:after="0" w:line="259" w:lineRule="auto"/>
              <w:jc w:val="left"/>
            </w:pPr>
            <w:r>
              <w:rPr>
                <w:rFonts w:ascii="Calibri" w:hAnsi="Calibri"/>
                <w:b w:val="0"/>
                <w:sz w:val="17"/>
              </w:rPr>
              <w:t>Coefficient collapse and non-identifiability</w:t>
            </w:r>
          </w:p>
        </w:tc>
        <w:tc>
          <w:tcPr>
            <w:tcW w:type="dxa" w:w="1050"/>
            <w:tcMar>
              <w:top w:w="80" w:type="dxa"/>
              <w:start w:w="120" w:type="dxa"/>
              <w:bottom w:w="80" w:type="dxa"/>
              <w:end w:w="120" w:type="dxa"/>
            </w:tcMar>
            <w:vAlign w:val="center"/>
          </w:tcPr>
          <w:p>
            <w:pPr>
              <w:spacing w:after="0" w:line="259" w:lineRule="auto"/>
              <w:jc w:val="center"/>
            </w:pPr>
            <w:r>
              <w:rPr>
                <w:rFonts w:ascii="Calibri" w:hAnsi="Calibri"/>
                <w:b w:val="0"/>
                <w:sz w:val="17"/>
              </w:rPr>
              <w:t>Partial</w:t>
            </w:r>
          </w:p>
        </w:tc>
        <w:tc>
          <w:tcPr>
            <w:tcW w:type="dxa" w:w="4600"/>
            <w:tcMar>
              <w:top w:w="80" w:type="dxa"/>
              <w:start w:w="120" w:type="dxa"/>
              <w:bottom w:w="80" w:type="dxa"/>
              <w:end w:w="120" w:type="dxa"/>
            </w:tcMar>
            <w:vAlign w:val="center"/>
          </w:tcPr>
          <w:p>
            <w:pPr>
              <w:spacing w:after="0" w:line="259" w:lineRule="auto"/>
              <w:jc w:val="left"/>
            </w:pPr>
            <w:r>
              <w:rPr>
                <w:rFonts w:ascii="Calibri" w:hAnsi="Calibri"/>
                <w:b w:val="0"/>
                <w:sz w:val="17"/>
              </w:rPr>
              <w:t>Full PDE, field ontology, boundary data</w:t>
            </w:r>
          </w:p>
        </w:tc>
      </w:tr>
      <w:tr>
        <w:trPr>
          <w:cantSplit/>
        </w:trPr>
        <w:tc>
          <w:tcPr>
            <w:tcW w:type="dxa" w:w="1050"/>
            <w:tcMar>
              <w:top w:w="80" w:type="dxa"/>
              <w:start w:w="120" w:type="dxa"/>
              <w:bottom w:w="80" w:type="dxa"/>
              <w:end w:w="120" w:type="dxa"/>
            </w:tcMar>
            <w:vAlign w:val="center"/>
          </w:tcPr>
          <w:p>
            <w:pPr>
              <w:spacing w:after="0" w:line="259" w:lineRule="auto"/>
              <w:jc w:val="center"/>
            </w:pPr>
            <w:r>
              <w:rPr>
                <w:rFonts w:ascii="Calibri" w:hAnsi="Calibri"/>
                <w:b/>
                <w:color w:val="0B2545"/>
                <w:sz w:val="17"/>
              </w:rPr>
              <w:t>ME-037</w:t>
            </w:r>
          </w:p>
        </w:tc>
        <w:tc>
          <w:tcPr>
            <w:tcW w:type="dxa" w:w="2660"/>
            <w:tcMar>
              <w:top w:w="80" w:type="dxa"/>
              <w:start w:w="120" w:type="dxa"/>
              <w:bottom w:w="80" w:type="dxa"/>
              <w:end w:w="120" w:type="dxa"/>
            </w:tcMar>
            <w:vAlign w:val="center"/>
          </w:tcPr>
          <w:p>
            <w:pPr>
              <w:spacing w:after="0" w:line="259" w:lineRule="auto"/>
              <w:jc w:val="left"/>
            </w:pPr>
            <w:r>
              <w:rPr>
                <w:rFonts w:ascii="Calibri" w:hAnsi="Calibri"/>
                <w:b w:val="0"/>
                <w:sz w:val="17"/>
              </w:rPr>
              <w:t>Observer/system cross-term agreement</w:t>
            </w:r>
          </w:p>
        </w:tc>
        <w:tc>
          <w:tcPr>
            <w:tcW w:type="dxa" w:w="1050"/>
            <w:tcMar>
              <w:top w:w="80" w:type="dxa"/>
              <w:start w:w="120" w:type="dxa"/>
              <w:bottom w:w="80" w:type="dxa"/>
              <w:end w:w="120" w:type="dxa"/>
            </w:tcMar>
            <w:vAlign w:val="center"/>
          </w:tcPr>
          <w:p>
            <w:pPr>
              <w:spacing w:after="0" w:line="259" w:lineRule="auto"/>
              <w:jc w:val="center"/>
            </w:pPr>
            <w:r>
              <w:rPr>
                <w:rFonts w:ascii="Calibri" w:hAnsi="Calibri"/>
                <w:b w:val="0"/>
                <w:sz w:val="17"/>
              </w:rPr>
              <w:t>Partial</w:t>
            </w:r>
          </w:p>
        </w:tc>
        <w:tc>
          <w:tcPr>
            <w:tcW w:type="dxa" w:w="4600"/>
            <w:tcMar>
              <w:top w:w="80" w:type="dxa"/>
              <w:start w:w="120" w:type="dxa"/>
              <w:bottom w:w="80" w:type="dxa"/>
              <w:end w:w="120" w:type="dxa"/>
            </w:tcMar>
            <w:vAlign w:val="center"/>
          </w:tcPr>
          <w:p>
            <w:pPr>
              <w:spacing w:after="0" w:line="259" w:lineRule="auto"/>
              <w:jc w:val="left"/>
            </w:pPr>
            <w:r>
              <w:rPr>
                <w:rFonts w:ascii="Calibri" w:hAnsi="Calibri"/>
                <w:b w:val="0"/>
                <w:sz w:val="17"/>
              </w:rPr>
              <w:t>Full observer PDE and coupling semantics</w:t>
            </w:r>
          </w:p>
        </w:tc>
      </w:tr>
      <w:tr>
        <w:trPr>
          <w:cantSplit/>
        </w:trPr>
        <w:tc>
          <w:tcPr>
            <w:tcW w:type="dxa" w:w="1050"/>
            <w:tcMar>
              <w:top w:w="80" w:type="dxa"/>
              <w:start w:w="120" w:type="dxa"/>
              <w:bottom w:w="80" w:type="dxa"/>
              <w:end w:w="120" w:type="dxa"/>
            </w:tcMar>
            <w:vAlign w:val="center"/>
          </w:tcPr>
          <w:p>
            <w:pPr>
              <w:spacing w:after="0" w:line="259" w:lineRule="auto"/>
              <w:jc w:val="center"/>
            </w:pPr>
            <w:r>
              <w:rPr>
                <w:rFonts w:ascii="Calibri" w:hAnsi="Calibri"/>
                <w:b/>
                <w:color w:val="0B2545"/>
                <w:sz w:val="17"/>
              </w:rPr>
              <w:t>ME-088</w:t>
            </w:r>
          </w:p>
        </w:tc>
        <w:tc>
          <w:tcPr>
            <w:tcW w:type="dxa" w:w="2660"/>
            <w:tcMar>
              <w:top w:w="80" w:type="dxa"/>
              <w:start w:w="120" w:type="dxa"/>
              <w:bottom w:w="80" w:type="dxa"/>
              <w:end w:w="120" w:type="dxa"/>
            </w:tcMar>
            <w:vAlign w:val="center"/>
          </w:tcPr>
          <w:p>
            <w:pPr>
              <w:spacing w:after="0" w:line="259" w:lineRule="auto"/>
              <w:jc w:val="left"/>
            </w:pPr>
            <w:r>
              <w:rPr>
                <w:rFonts w:ascii="Calibri" w:hAnsi="Calibri"/>
                <w:b w:val="0"/>
                <w:sz w:val="17"/>
              </w:rPr>
              <w:t>Zero-preservation no-go</w:t>
            </w:r>
          </w:p>
        </w:tc>
        <w:tc>
          <w:tcPr>
            <w:tcW w:type="dxa" w:w="1050"/>
            <w:tcMar>
              <w:top w:w="80" w:type="dxa"/>
              <w:start w:w="120" w:type="dxa"/>
              <w:bottom w:w="80" w:type="dxa"/>
              <w:end w:w="120" w:type="dxa"/>
            </w:tcMar>
            <w:vAlign w:val="center"/>
          </w:tcPr>
          <w:p>
            <w:pPr>
              <w:spacing w:after="0" w:line="259" w:lineRule="auto"/>
              <w:jc w:val="center"/>
            </w:pPr>
            <w:r>
              <w:rPr>
                <w:rFonts w:ascii="Calibri" w:hAnsi="Calibri"/>
                <w:b w:val="0"/>
                <w:sz w:val="17"/>
              </w:rPr>
              <w:t>Partial</w:t>
            </w:r>
          </w:p>
        </w:tc>
        <w:tc>
          <w:tcPr>
            <w:tcW w:type="dxa" w:w="4600"/>
            <w:tcMar>
              <w:top w:w="80" w:type="dxa"/>
              <w:start w:w="120" w:type="dxa"/>
              <w:bottom w:w="80" w:type="dxa"/>
              <w:end w:w="120" w:type="dxa"/>
            </w:tcMar>
            <w:vAlign w:val="center"/>
          </w:tcPr>
          <w:p>
            <w:pPr>
              <w:spacing w:after="0" w:line="259" w:lineRule="auto"/>
              <w:jc w:val="left"/>
            </w:pPr>
            <w:r>
              <w:rPr>
                <w:rFonts w:ascii="Calibri" w:hAnsi="Calibri"/>
                <w:b w:val="0"/>
                <w:sz w:val="17"/>
              </w:rPr>
              <w:t>Meaning and mechanism of nonzero rebirth</w:t>
            </w:r>
          </w:p>
        </w:tc>
      </w:tr>
      <w:tr>
        <w:trPr>
          <w:cantSplit/>
        </w:trPr>
        <w:tc>
          <w:tcPr>
            <w:tcW w:type="dxa" w:w="1050"/>
            <w:tcMar>
              <w:top w:w="80" w:type="dxa"/>
              <w:start w:w="120" w:type="dxa"/>
              <w:bottom w:w="80" w:type="dxa"/>
              <w:end w:w="120" w:type="dxa"/>
            </w:tcMar>
            <w:vAlign w:val="center"/>
          </w:tcPr>
          <w:p>
            <w:pPr>
              <w:spacing w:after="0" w:line="259" w:lineRule="auto"/>
              <w:jc w:val="center"/>
            </w:pPr>
            <w:r>
              <w:rPr>
                <w:rFonts w:ascii="Calibri" w:hAnsi="Calibri"/>
                <w:b/>
                <w:color w:val="0B2545"/>
                <w:sz w:val="17"/>
              </w:rPr>
              <w:t>ME-096</w:t>
            </w:r>
          </w:p>
        </w:tc>
        <w:tc>
          <w:tcPr>
            <w:tcW w:type="dxa" w:w="2660"/>
            <w:tcMar>
              <w:top w:w="80" w:type="dxa"/>
              <w:start w:w="120" w:type="dxa"/>
              <w:bottom w:w="80" w:type="dxa"/>
              <w:end w:w="120" w:type="dxa"/>
            </w:tcMar>
            <w:vAlign w:val="center"/>
          </w:tcPr>
          <w:p>
            <w:pPr>
              <w:spacing w:after="0" w:line="259" w:lineRule="auto"/>
              <w:jc w:val="left"/>
            </w:pPr>
            <w:r>
              <w:rPr>
                <w:rFonts w:ascii="Calibri" w:hAnsi="Calibri"/>
                <w:b w:val="0"/>
                <w:sz w:val="17"/>
              </w:rPr>
              <w:t>Counterexample to claimed sufficiency</w:t>
            </w:r>
          </w:p>
        </w:tc>
        <w:tc>
          <w:tcPr>
            <w:tcW w:type="dxa" w:w="1050"/>
            <w:tcMar>
              <w:top w:w="80" w:type="dxa"/>
              <w:start w:w="120" w:type="dxa"/>
              <w:bottom w:w="80" w:type="dxa"/>
              <w:end w:w="120" w:type="dxa"/>
            </w:tcMar>
            <w:vAlign w:val="center"/>
          </w:tcPr>
          <w:p>
            <w:pPr>
              <w:spacing w:after="0" w:line="259" w:lineRule="auto"/>
              <w:jc w:val="center"/>
            </w:pPr>
            <w:r>
              <w:rPr>
                <w:rFonts w:ascii="Calibri" w:hAnsi="Calibri"/>
                <w:b w:val="0"/>
                <w:sz w:val="17"/>
              </w:rPr>
              <w:t>Partial</w:t>
            </w:r>
          </w:p>
        </w:tc>
        <w:tc>
          <w:tcPr>
            <w:tcW w:type="dxa" w:w="4600"/>
            <w:tcMar>
              <w:top w:w="80" w:type="dxa"/>
              <w:start w:w="120" w:type="dxa"/>
              <w:bottom w:w="80" w:type="dxa"/>
              <w:end w:w="120" w:type="dxa"/>
            </w:tcMar>
            <w:vAlign w:val="center"/>
          </w:tcPr>
          <w:p>
            <w:pPr>
              <w:spacing w:after="0" w:line="259" w:lineRule="auto"/>
              <w:jc w:val="left"/>
            </w:pPr>
            <w:r>
              <w:rPr>
                <w:rFonts w:ascii="Calibri" w:hAnsi="Calibri"/>
                <w:b w:val="0"/>
                <w:sz w:val="17"/>
              </w:rPr>
              <w:t>A valid general convergence theorem</w:t>
            </w:r>
          </w:p>
        </w:tc>
      </w:tr>
      <w:tr>
        <w:trPr>
          <w:cantSplit/>
        </w:trPr>
        <w:tc>
          <w:tcPr>
            <w:tcW w:type="dxa" w:w="1050"/>
            <w:tcMar>
              <w:top w:w="80" w:type="dxa"/>
              <w:start w:w="120" w:type="dxa"/>
              <w:bottom w:w="80" w:type="dxa"/>
              <w:end w:w="120" w:type="dxa"/>
            </w:tcMar>
            <w:vAlign w:val="center"/>
          </w:tcPr>
          <w:p>
            <w:pPr>
              <w:spacing w:after="0" w:line="259" w:lineRule="auto"/>
              <w:jc w:val="center"/>
            </w:pPr>
            <w:r>
              <w:rPr>
                <w:rFonts w:ascii="Calibri" w:hAnsi="Calibri"/>
                <w:b/>
                <w:color w:val="0B2545"/>
                <w:sz w:val="17"/>
              </w:rPr>
              <w:t>ME-101</w:t>
            </w:r>
          </w:p>
        </w:tc>
        <w:tc>
          <w:tcPr>
            <w:tcW w:type="dxa" w:w="2660"/>
            <w:tcMar>
              <w:top w:w="80" w:type="dxa"/>
              <w:start w:w="120" w:type="dxa"/>
              <w:bottom w:w="80" w:type="dxa"/>
              <w:end w:w="120" w:type="dxa"/>
            </w:tcMar>
            <w:vAlign w:val="center"/>
          </w:tcPr>
          <w:p>
            <w:pPr>
              <w:spacing w:after="0" w:line="259" w:lineRule="auto"/>
              <w:jc w:val="left"/>
            </w:pPr>
            <w:r>
              <w:rPr>
                <w:rFonts w:ascii="Calibri" w:hAnsi="Calibri"/>
                <w:b w:val="0"/>
                <w:sz w:val="17"/>
              </w:rPr>
              <w:t>Closed form, monotonicity, divergence</w:t>
            </w:r>
          </w:p>
        </w:tc>
        <w:tc>
          <w:tcPr>
            <w:tcW w:type="dxa" w:w="1050"/>
            <w:tcMar>
              <w:top w:w="80" w:type="dxa"/>
              <w:start w:w="120" w:type="dxa"/>
              <w:bottom w:w="80" w:type="dxa"/>
              <w:end w:w="120" w:type="dxa"/>
            </w:tcMar>
            <w:vAlign w:val="center"/>
          </w:tcPr>
          <w:p>
            <w:pPr>
              <w:spacing w:after="0" w:line="259" w:lineRule="auto"/>
              <w:jc w:val="center"/>
            </w:pPr>
            <w:r>
              <w:rPr>
                <w:rFonts w:ascii="Calibri" w:hAnsi="Calibri"/>
                <w:b w:val="0"/>
                <w:sz w:val="17"/>
              </w:rPr>
              <w:t>Partial</w:t>
            </w:r>
          </w:p>
        </w:tc>
        <w:tc>
          <w:tcPr>
            <w:tcW w:type="dxa" w:w="4600"/>
            <w:tcMar>
              <w:top w:w="80" w:type="dxa"/>
              <w:start w:w="120" w:type="dxa"/>
              <w:bottom w:w="80" w:type="dxa"/>
              <w:end w:w="120" w:type="dxa"/>
            </w:tcMar>
            <w:vAlign w:val="center"/>
          </w:tcPr>
          <w:p>
            <w:pPr>
              <w:spacing w:after="0" w:line="259" w:lineRule="auto"/>
              <w:jc w:val="left"/>
            </w:pPr>
            <w:r>
              <w:rPr>
                <w:rFonts w:ascii="Calibri" w:hAnsi="Calibri"/>
                <w:b w:val="0"/>
                <w:sz w:val="17"/>
              </w:rPr>
              <w:t>Empirical meaning and bounded persistence</w:t>
            </w:r>
          </w:p>
        </w:tc>
      </w:tr>
    </w:tbl>
    <w:p>
      <w:pPr>
        <w:widowControl/>
      </w:pPr>
      <w:r>
        <w:rPr>
          <w:rFonts w:ascii="Calibri" w:hAnsi="Calibri"/>
          <w:sz w:val="22"/>
        </w:rPr>
        <w:t>A declaration is marked partially formalized when the isolated mathematical claim is proved but the surrounding equation still contains unspecified domains, units, differential operators, measurement rules, or empirical referents. No axiom, sorry declaration, or admitted proof was introduced to force completion.</w:t>
      </w:r>
    </w:p>
    <w:p>
      <w:pPr>
        <w:pStyle w:val="Heading1"/>
        <w:keepNext/>
        <w:widowControl/>
      </w:pPr>
      <w:r>
        <w:t>3. Verification environment and reproducibility</w:t>
      </w:r>
    </w:p>
    <w:p>
      <w:pPr>
        <w:widowControl/>
      </w:pPr>
      <w:r>
        <w:rPr>
          <w:rFonts w:ascii="Calibri" w:hAnsi="Calibri"/>
          <w:sz w:val="22"/>
        </w:rPr>
        <w:t>The theorem tranche was checked with Lean 4.19.0 and the corresponding Mathlib v4.19.0 release [1,2]. The project manifest pins Mathlib to revision c44e0c8ee63ca166450922a373c7409c5d26b00b. The integrated Monolithic102 library imports all 102 equation namespaces and completed a clean Lake build. The formalization tranche was recorded in repository commit edc8565, titled 'Formalize theorem-ready equation tranche' [3].</w:t>
      </w:r>
    </w:p>
    <w:p>
      <w:pPr>
        <w:widowControl/>
      </w:pPr>
      <w:r>
        <w:rPr>
          <w:rFonts w:ascii="Calibri" w:hAnsi="Calibri"/>
          <w:sz w:val="22"/>
        </w:rPr>
        <w:t>Lean checks proof terms against a small trusted kernel [1]. This substantially raises confidence that the propositions follow from their encoded assumptions, but it does not certify that the encoded definitions are the correct scientific interpretation. Specification review therefore remains as important as proof checking. The source-to-theorem crosswalk in this paper is intended to make that review explicit.</w:t>
      </w:r>
    </w:p>
    <w:p>
      <w:pPr>
        <w:pStyle w:val="Heading1"/>
        <w:keepNext/>
        <w:widowControl/>
      </w:pPr>
      <w:r>
        <w:t>4. ME-036: symmetric cross-gradient collapse</w:t>
      </w:r>
    </w:p>
    <w:p>
      <w:pPr>
        <w:pStyle w:val="Heading2"/>
        <w:keepNext/>
        <w:widowControl/>
      </w:pPr>
      <w:r>
        <w:t>4.1 Isolated coupling term</w:t>
      </w:r>
    </w:p>
    <w:p>
      <w:pPr>
        <w:widowControl/>
      </w:pPr>
      <w:r>
        <w:rPr>
          <w:rFonts w:ascii="Calibri" w:hAnsi="Calibri"/>
          <w:sz w:val="22"/>
        </w:rPr>
        <w:t>ME-036 contains two cross-gradient contributions, alpha(grad S dot grad O) and beta(grad O dot grad S). The full reaction-diffusion expression remains underspecified, but the coupling term can be represented over an arbitrary type V equipped with a real-valued binary pairing d.</w:t>
      </w:r>
    </w:p>
    <w:p>
      <w:pPr>
        <w:pStyle w:val="EquationDisplay"/>
        <w:jc w:val="center"/>
        <w:widowControl/>
      </w:pPr>
      <w:r>
        <w:rPr>
          <w:rFonts w:ascii="Cambria Math" w:hAnsi="Cambria Math"/>
          <w:color w:val="0B2545"/>
          <w:sz w:val="23"/>
        </w:rPr>
        <w:t>Gₛ = α d(∇S, ∇O) + β d(∇O, ∇S)</w:t>
      </w:r>
      <w:r>
        <w:rPr>
          <w:rFonts w:ascii="Cambria Math" w:hAnsi="Cambria Math"/>
          <w:color w:val="5C6570"/>
          <w:sz w:val="20"/>
        </w:rPr>
        <w:t xml:space="preserve">    (1)</w:t>
      </w:r>
    </w:p>
    <w:p>
      <w:pPr>
        <w:pStyle w:val="TheoremBlock"/>
        <w:keepLines/>
        <w:widowControl/>
      </w:pPr>
      <w:r>
        <w:rPr>
          <w:rFonts w:ascii="Calibri" w:hAnsi="Calibri"/>
          <w:b/>
          <w:color w:val="0B2545"/>
          <w:sz w:val="22"/>
        </w:rPr>
        <w:t xml:space="preserve">Theorem 1 (cross-gradient collapse). </w:t>
      </w:r>
      <w:r>
        <w:rPr>
          <w:rFonts w:ascii="Calibri" w:hAnsi="Calibri"/>
          <w:sz w:val="22"/>
        </w:rPr>
        <w:t>Let d : V x V -&gt; R be symmetric. For all real alpha and beta and all gradient states grad S and grad O, G_S = (alpha + beta)d(grad S, grad O).</w:t>
      </w:r>
      <w:r>
        <w:rPr>
          <w:rFonts w:ascii="Consolas" w:hAnsi="Consolas"/>
          <w:color w:val="5C6570"/>
          <w:sz w:val="17"/>
        </w:rPr>
        <w:t xml:space="preserve">  [Lean: ME036.crossGradientCoupling_collapse]</w:t>
      </w:r>
    </w:p>
    <w:p>
      <w:pPr>
        <w:widowControl/>
      </w:pPr>
      <w:r>
        <w:rPr>
          <w:rFonts w:ascii="Calibri" w:hAnsi="Calibri"/>
          <w:sz w:val="22"/>
        </w:rPr>
        <w:t>Proof. Symmetry gives d(grad O, grad S) = d(grad S, grad O). Substitution followed by distributivity reduces the two terms to their common factor. Lean closes the equality by rewriting the symmetry hypothesis and the distributive law.</w:t>
      </w:r>
    </w:p>
    <w:p>
      <w:pPr>
        <w:pStyle w:val="Heading2"/>
        <w:keepNext/>
        <w:widowControl/>
      </w:pPr>
      <w:r>
        <w:t>4.2 Structural identifiability consequence</w:t>
      </w:r>
    </w:p>
    <w:p>
      <w:pPr>
        <w:pStyle w:val="TheoremBlock"/>
        <w:keepLines/>
        <w:widowControl/>
      </w:pPr>
      <w:r>
        <w:rPr>
          <w:rFonts w:ascii="Calibri" w:hAnsi="Calibri"/>
          <w:b/>
          <w:color w:val="0B2545"/>
          <w:sz w:val="22"/>
        </w:rPr>
        <w:t xml:space="preserve">Theorem 2 (coefficient non-identifiability). </w:t>
      </w:r>
      <w:r>
        <w:rPr>
          <w:rFonts w:ascii="Calibri" w:hAnsi="Calibri"/>
          <w:sz w:val="22"/>
        </w:rPr>
        <w:t>Under the same symmetry assumption, if alpha + beta = alpha' + beta', then the ME-036 cross-gradient coupling is identical for parameter pairs (alpha, beta) and (alpha', beta') at every pair of states.</w:t>
      </w:r>
      <w:r>
        <w:rPr>
          <w:rFonts w:ascii="Consolas" w:hAnsi="Consolas"/>
          <w:color w:val="5C6570"/>
          <w:sz w:val="17"/>
        </w:rPr>
        <w:t xml:space="preserve">  [Lean: ME036.crossGradientCoupling_nonidentifiable]</w:t>
      </w:r>
    </w:p>
    <w:p>
      <w:pPr>
        <w:widowControl/>
      </w:pPr>
      <w:r>
        <w:rPr>
          <w:rFonts w:ascii="Calibri" w:hAnsi="Calibri"/>
          <w:sz w:val="22"/>
        </w:rPr>
        <w:t>This is not merely an algebraic simplification. It is a model-identification constraint. Data that observe only this symmetric term cannot recover alpha and beta separately, regardless of sample size or optimizer quality. The parameterization contains an equivalence class indexed by the single sum alpha + beta. Separate estimation would require an asymmetric pairing, an additional observation, a constraint fixing one coefficient, or some other term that distinguishes orientation.</w:t>
      </w:r>
    </w:p>
    <w:p>
      <w:pPr>
        <w:pStyle w:val="Heading1"/>
        <w:keepNext/>
        <w:widowControl/>
      </w:pPr>
      <w:r>
        <w:t>5. ME-037: observer-field counterpart</w:t>
      </w:r>
    </w:p>
    <w:p>
      <w:pPr>
        <w:widowControl/>
      </w:pPr>
      <w:r>
        <w:rPr>
          <w:rFonts w:ascii="Calibri" w:hAnsi="Calibri"/>
          <w:sz w:val="22"/>
        </w:rPr>
        <w:t>ME-037 reverses the order of the system and observer gradients. Its isolated observer coupling is</w:t>
      </w:r>
    </w:p>
    <w:p>
      <w:pPr>
        <w:pStyle w:val="EquationDisplay"/>
        <w:jc w:val="center"/>
        <w:widowControl/>
      </w:pPr>
      <w:r>
        <w:rPr>
          <w:rFonts w:ascii="Cambria Math" w:hAnsi="Cambria Math"/>
          <w:color w:val="0B2545"/>
          <w:sz w:val="23"/>
        </w:rPr>
        <w:t>Gₒ = α d(∇O, ∇S) + β d(∇S, ∇O)</w:t>
      </w:r>
      <w:r>
        <w:rPr>
          <w:rFonts w:ascii="Cambria Math" w:hAnsi="Cambria Math"/>
          <w:color w:val="5C6570"/>
          <w:sz w:val="20"/>
        </w:rPr>
        <w:t xml:space="preserve">    (2)</w:t>
      </w:r>
    </w:p>
    <w:p>
      <w:pPr>
        <w:pStyle w:val="TheoremBlock"/>
        <w:keepLines/>
        <w:widowControl/>
      </w:pPr>
      <w:r>
        <w:rPr>
          <w:rFonts w:ascii="Calibri" w:hAnsi="Calibri"/>
          <w:b/>
          <w:color w:val="0B2545"/>
          <w:sz w:val="22"/>
        </w:rPr>
        <w:t xml:space="preserve">Theorem 3 (observer cross-gradient collapse). </w:t>
      </w:r>
      <w:r>
        <w:rPr>
          <w:rFonts w:ascii="Calibri" w:hAnsi="Calibri"/>
          <w:sz w:val="22"/>
        </w:rPr>
        <w:t>For symmetric d, G_O = (alpha + beta)d(grad O, grad S).</w:t>
      </w:r>
      <w:r>
        <w:rPr>
          <w:rFonts w:ascii="Consolas" w:hAnsi="Consolas"/>
          <w:color w:val="5C6570"/>
          <w:sz w:val="17"/>
        </w:rPr>
        <w:t xml:space="preserve">  [Lean: ME037.observerCrossGradientCoupling_collapse]</w:t>
      </w:r>
    </w:p>
    <w:p>
      <w:pPr>
        <w:pStyle w:val="TheoremBlock"/>
        <w:keepLines/>
        <w:widowControl/>
      </w:pPr>
      <w:r>
        <w:rPr>
          <w:rFonts w:ascii="Calibri" w:hAnsi="Calibri"/>
          <w:b/>
          <w:color w:val="0B2545"/>
          <w:sz w:val="22"/>
        </w:rPr>
        <w:t xml:space="preserve">Theorem 4 (system-observer effective-coefficient agreement). </w:t>
      </w:r>
      <w:r>
        <w:rPr>
          <w:rFonts w:ascii="Calibri" w:hAnsi="Calibri"/>
          <w:sz w:val="22"/>
        </w:rPr>
        <w:t>For symmetric d, the isolated ME-036 and ME-037 cross-gradient terms are equal after exchanging the roles of the system and observer gradients.</w:t>
      </w:r>
      <w:r>
        <w:rPr>
          <w:rFonts w:ascii="Consolas" w:hAnsi="Consolas"/>
          <w:color w:val="5C6570"/>
          <w:sz w:val="17"/>
        </w:rPr>
        <w:t xml:space="preserve">  [Lean: ME037.system_observer_effectiveCoefficient_agree]</w:t>
      </w:r>
    </w:p>
    <w:p>
      <w:pPr>
        <w:widowControl/>
      </w:pPr>
      <w:r>
        <w:rPr>
          <w:rFonts w:ascii="Calibri" w:hAnsi="Calibri"/>
          <w:sz w:val="22"/>
        </w:rPr>
        <w:t>The pair of equations therefore does not obtain two independent directional couplings from the two written products. Under a conventional symmetric dot product, both equations use the same effective coefficient alpha + beta. Any theory that assigns distinct directional meaning to alpha and beta must encode a genuinely noncommutative or asymmetric operator rather than relying on notation alone.</w:t>
      </w:r>
    </w:p>
    <w:p>
      <w:pPr>
        <w:pStyle w:val="Heading1"/>
        <w:keepNext/>
        <w:widowControl/>
      </w:pPr>
      <w:r>
        <w:t>6. ME-088: null-rebirth no-go theorem</w:t>
      </w:r>
    </w:p>
    <w:p>
      <w:pPr>
        <w:pStyle w:val="Heading2"/>
        <w:keepNext/>
        <w:widowControl/>
      </w:pPr>
      <w:r>
        <w:t>6.1 Formal composition</w:t>
      </w:r>
    </w:p>
    <w:p>
      <w:pPr>
        <w:widowControl/>
      </w:pPr>
      <w:r>
        <w:rPr>
          <w:rFonts w:ascii="Calibri" w:hAnsi="Calibri"/>
          <w:sz w:val="22"/>
        </w:rPr>
        <w:t>ME-088 is written as R_b(X) = S_23(N(X)), where the current scalar-23 implementation acts by real multiplication. The theorem deliberately assumes only that the intermediate null operator returns the real number zero at a selected input.</w:t>
      </w:r>
    </w:p>
    <w:p>
      <w:pPr>
        <w:pStyle w:val="EquationDisplay"/>
        <w:jc w:val="center"/>
        <w:widowControl/>
      </w:pPr>
      <w:r>
        <w:rPr>
          <w:rFonts w:ascii="Cambria Math" w:hAnsi="Cambria Math"/>
          <w:color w:val="0B2545"/>
          <w:sz w:val="23"/>
        </w:rPr>
        <w:t>Rᵦ(x) = φ²³ N(x)</w:t>
      </w:r>
      <w:r>
        <w:rPr>
          <w:rFonts w:ascii="Cambria Math" w:hAnsi="Cambria Math"/>
          <w:color w:val="5C6570"/>
          <w:sz w:val="20"/>
        </w:rPr>
        <w:t xml:space="preserve">    (3)</w:t>
      </w:r>
    </w:p>
    <w:p>
      <w:pPr>
        <w:pStyle w:val="TheoremBlock"/>
        <w:keepLines/>
        <w:widowControl/>
      </w:pPr>
      <w:r>
        <w:rPr>
          <w:rFonts w:ascii="Calibri" w:hAnsi="Calibri"/>
          <w:b/>
          <w:color w:val="0B2545"/>
          <w:sz w:val="22"/>
        </w:rPr>
        <w:t xml:space="preserve">Theorem 5 (null-rebirth no-go). </w:t>
      </w:r>
      <w:r>
        <w:rPr>
          <w:rFonts w:ascii="Calibri" w:hAnsi="Calibri"/>
          <w:sz w:val="22"/>
        </w:rPr>
        <w:t>For every real-valued operator N and real input x, if N(x) = 0, then R_b(x) = 0.</w:t>
      </w:r>
      <w:r>
        <w:rPr>
          <w:rFonts w:ascii="Consolas" w:hAnsi="Consolas"/>
          <w:color w:val="5C6570"/>
          <w:sz w:val="17"/>
        </w:rPr>
        <w:t xml:space="preserve">  [Lean: ME088.null_rebirth_no_go]</w:t>
      </w:r>
    </w:p>
    <w:p>
      <w:pPr>
        <w:widowControl/>
      </w:pPr>
      <w:r>
        <w:rPr>
          <w:rFonts w:ascii="Calibri" w:hAnsi="Calibri"/>
          <w:sz w:val="22"/>
        </w:rPr>
        <w:t>Proof. Substitute N(x) = 0 into the composition. Multiplication by phi^23 preserves zero. Lean's simplifier closes the resulting expression.</w:t>
      </w:r>
    </w:p>
    <w:p>
      <w:pPr>
        <w:pStyle w:val="Heading2"/>
        <w:keepNext/>
        <w:widowControl/>
      </w:pPr>
      <w:r>
        <w:t>6.2 Interpretive consequence</w:t>
      </w:r>
    </w:p>
    <w:p>
      <w:pPr>
        <w:widowControl/>
      </w:pPr>
      <w:r>
        <w:rPr>
          <w:rFonts w:ascii="Calibri" w:hAnsi="Calibri"/>
          <w:sz w:val="22"/>
        </w:rPr>
        <w:t>The theorem rules out a literal reading in which ordinary scalar multiplication creates a nonzero state from an actual zero. If 'null' instead denotes a structured latent state, a limit, an empty carrier with an external source term, a stochastic seed, or a nonzero encoded element, then that structure must be specified explicitly. Alternatively, the rebirth operator must contain a nonhomogeneous term or nonlinear rule capable of introducing state. The theorem does not forbid such mechanisms; it shows that none is present in the current scalar multiplication alone.</w:t>
      </w:r>
    </w:p>
    <w:p>
      <w:pPr>
        <w:pStyle w:val="Heading1"/>
        <w:keepNext/>
        <w:widowControl/>
      </w:pPr>
      <w:r>
        <w:t>7. ME-096: vanishing increments do not imply convergence</w:t>
      </w:r>
    </w:p>
    <w:p>
      <w:pPr>
        <w:pStyle w:val="Heading2"/>
        <w:keepNext/>
        <w:widowControl/>
      </w:pPr>
      <w:r>
        <w:t>7.1 The displayed condition</w:t>
      </w:r>
    </w:p>
    <w:p>
      <w:pPr>
        <w:widowControl/>
      </w:pPr>
      <w:r>
        <w:rPr>
          <w:rFonts w:ascii="Calibri" w:hAnsi="Calibri"/>
          <w:sz w:val="22"/>
        </w:rPr>
        <w:t>ME-096 presents the asymptotic condition that the norm of X_(n+1) - X_n tends to zero and describes it as a convergence criterion. The formalization tests the strongest natural reading: whether that condition alone is sufficient to guarantee the existence of a finite limit.</w:t>
      </w:r>
    </w:p>
    <w:p>
      <w:pPr>
        <w:pStyle w:val="EquationDisplay"/>
        <w:jc w:val="center"/>
        <w:widowControl/>
      </w:pPr>
      <w:r>
        <w:rPr>
          <w:rFonts w:ascii="Cambria Math" w:hAnsi="Cambria Math"/>
          <w:color w:val="0B2545"/>
          <w:sz w:val="23"/>
        </w:rPr>
        <w:t>limₙ→∞ |Xₙ₊₁ − Xₙ| = 0</w:t>
      </w:r>
      <w:r>
        <w:rPr>
          <w:rFonts w:ascii="Cambria Math" w:hAnsi="Cambria Math"/>
          <w:color w:val="5C6570"/>
          <w:sz w:val="20"/>
        </w:rPr>
        <w:t xml:space="preserve">    (4)</w:t>
      </w:r>
    </w:p>
    <w:p>
      <w:pPr>
        <w:widowControl/>
      </w:pPr>
      <w:r>
        <w:rPr>
          <w:rFonts w:ascii="Calibri" w:hAnsi="Calibri"/>
          <w:sz w:val="22"/>
        </w:rPr>
        <w:t>A single counterexample is enough to disprove sufficiency. Define the trajectory H_n by the partial sums of the harmonic series.</w:t>
      </w:r>
    </w:p>
    <w:p>
      <w:pPr>
        <w:pStyle w:val="EquationDisplay"/>
        <w:jc w:val="center"/>
        <w:widowControl/>
      </w:pPr>
      <w:r>
        <w:rPr>
          <w:rFonts w:ascii="Cambria Math" w:hAnsi="Cambria Math"/>
          <w:color w:val="0B2545"/>
          <w:sz w:val="23"/>
        </w:rPr>
        <w:t>Hₙ = ∑ₖ₌₀ⁿ⁻¹ 1/(k + 1)</w:t>
      </w:r>
      <w:r>
        <w:rPr>
          <w:rFonts w:ascii="Cambria Math" w:hAnsi="Cambria Math"/>
          <w:color w:val="5C6570"/>
          <w:sz w:val="20"/>
        </w:rPr>
        <w:t xml:space="preserve">    (5)</w:t>
      </w:r>
    </w:p>
    <w:p>
      <w:pPr>
        <w:pStyle w:val="TheoremBlock"/>
        <w:keepLines/>
        <w:widowControl/>
      </w:pPr>
      <w:r>
        <w:rPr>
          <w:rFonts w:ascii="Calibri" w:hAnsi="Calibri"/>
          <w:b/>
          <w:color w:val="0B2545"/>
          <w:sz w:val="22"/>
        </w:rPr>
        <w:t xml:space="preserve">Lemma 1 (harmonic increment identity). </w:t>
      </w:r>
      <w:r>
        <w:rPr>
          <w:rFonts w:ascii="Calibri" w:hAnsi="Calibri"/>
          <w:sz w:val="22"/>
        </w:rPr>
        <w:t>For every natural number n, H_(n+1) - H_n = 1/(n + 1).</w:t>
      </w:r>
      <w:r>
        <w:rPr>
          <w:rFonts w:ascii="Consolas" w:hAnsi="Consolas"/>
          <w:color w:val="5C6570"/>
          <w:sz w:val="17"/>
        </w:rPr>
        <w:t xml:space="preserve">  [Lean: ME096.harmonicTrajectory_increment]</w:t>
      </w:r>
    </w:p>
    <w:p>
      <w:pPr>
        <w:pStyle w:val="TheoremBlock"/>
        <w:keepLines/>
        <w:widowControl/>
      </w:pPr>
      <w:r>
        <w:rPr>
          <w:rFonts w:ascii="Calibri" w:hAnsi="Calibri"/>
          <w:b/>
          <w:color w:val="0B2545"/>
          <w:sz w:val="22"/>
        </w:rPr>
        <w:t xml:space="preserve">Lemma 2 (vanishing harmonic increments). </w:t>
      </w:r>
      <w:r>
        <w:rPr>
          <w:rFonts w:ascii="Calibri" w:hAnsi="Calibri"/>
          <w:sz w:val="22"/>
        </w:rPr>
        <w:t>The absolute adjacent increments |H_(n+1) - H_n| tend to zero as n tends to infinity.</w:t>
      </w:r>
      <w:r>
        <w:rPr>
          <w:rFonts w:ascii="Consolas" w:hAnsi="Consolas"/>
          <w:color w:val="5C6570"/>
          <w:sz w:val="17"/>
        </w:rPr>
        <w:t xml:space="preserve">  [Lean: ME096.harmonicTrajectory_increments_tend_to_zero]</w:t>
      </w:r>
    </w:p>
    <w:p>
      <w:pPr>
        <w:pStyle w:val="TheoremBlock"/>
        <w:keepLines/>
        <w:widowControl/>
      </w:pPr>
      <w:r>
        <w:rPr>
          <w:rFonts w:ascii="Calibri" w:hAnsi="Calibri"/>
          <w:b/>
          <w:color w:val="0B2545"/>
          <w:sz w:val="22"/>
        </w:rPr>
        <w:t xml:space="preserve">Lemma 3 (failure of finite convergence). </w:t>
      </w:r>
      <w:r>
        <w:rPr>
          <w:rFonts w:ascii="Calibri" w:hAnsi="Calibri"/>
          <w:sz w:val="22"/>
        </w:rPr>
        <w:t>There exists no real L such that H_n tends to L.</w:t>
      </w:r>
      <w:r>
        <w:rPr>
          <w:rFonts w:ascii="Consolas" w:hAnsi="Consolas"/>
          <w:color w:val="5C6570"/>
          <w:sz w:val="17"/>
        </w:rPr>
        <w:t xml:space="preserve">  [Lean: ME096.harmonicTrajectory_not_convergent]</w:t>
      </w:r>
    </w:p>
    <w:p>
      <w:pPr>
        <w:pStyle w:val="TheoremBlock"/>
        <w:keepLines/>
        <w:widowControl/>
      </w:pPr>
      <w:r>
        <w:rPr>
          <w:rFonts w:ascii="Calibri" w:hAnsi="Calibri"/>
          <w:b/>
          <w:color w:val="0B2545"/>
          <w:sz w:val="22"/>
        </w:rPr>
        <w:t xml:space="preserve">Theorem 6 (counterexample to increment-only convergence). </w:t>
      </w:r>
      <w:r>
        <w:rPr>
          <w:rFonts w:ascii="Calibri" w:hAnsi="Calibri"/>
          <w:sz w:val="22"/>
        </w:rPr>
        <w:t>There exists a real sequence whose adjacent increments tend to zero but which has no finite real limit.</w:t>
      </w:r>
      <w:r>
        <w:rPr>
          <w:rFonts w:ascii="Consolas" w:hAnsi="Consolas"/>
          <w:color w:val="5C6570"/>
          <w:sz w:val="17"/>
        </w:rPr>
        <w:t xml:space="preserve">  [Lean: ME096.vanishing_increments_do_not_imply_convergence]</w:t>
      </w:r>
    </w:p>
    <w:p>
      <w:pPr>
        <w:pStyle w:val="Heading2"/>
        <w:keepNext/>
        <w:widowControl/>
      </w:pPr>
      <w:r>
        <w:t>7.2 Consequence for the corpus</w:t>
      </w:r>
    </w:p>
    <w:p>
      <w:pPr>
        <w:widowControl/>
      </w:pPr>
      <w:r>
        <w:rPr>
          <w:rFonts w:ascii="Calibri" w:hAnsi="Calibri"/>
          <w:sz w:val="22"/>
        </w:rPr>
        <w:t>The original displayed condition is asymptotic regularity, not convergence. It says successive states become close to one another over a single step; it does not control the accumulated displacement over many steps. The harmonic trajectory moves by ever smaller amounts while those amounts accumulate without bound. Accordingly, ME-096 should not be retained as a sufficient convergence criterion without additional hypotheses.</w:t>
      </w:r>
    </w:p>
    <w:p>
      <w:pPr>
        <w:widowControl/>
      </w:pPr>
      <w:r>
        <w:rPr>
          <w:rFonts w:ascii="Calibri" w:hAnsi="Calibri"/>
          <w:sz w:val="22"/>
        </w:rPr>
        <w:t>Several repairs are mathematically standard. Convergence follows if the state space is complete and the sequence is shown to be Cauchy. It also follows when the norms of the increments form a summable series, or when the update is a contraction on a complete metric space. For ordered real sequences, monotonicity together with boundedness is sufficient. Selecting among these repairs is a modeling decision: each imposes a different substantive claim about the recursive dynamics.</w:t>
      </w:r>
    </w:p>
    <w:p>
      <w:pPr>
        <w:pStyle w:val="Heading1"/>
        <w:keepNext/>
        <w:widowControl/>
      </w:pPr>
      <w:r>
        <w:t>8. ME-101: constant-gain recursive identity</w:t>
      </w:r>
    </w:p>
    <w:p>
      <w:pPr>
        <w:pStyle w:val="Heading2"/>
        <w:keepNext/>
        <w:widowControl/>
      </w:pPr>
      <w:r>
        <w:t>8.1 Recurrence and closed form</w:t>
      </w:r>
    </w:p>
    <w:p>
      <w:pPr>
        <w:widowControl/>
      </w:pPr>
      <w:r>
        <w:rPr>
          <w:rFonts w:ascii="Calibri" w:hAnsi="Calibri"/>
          <w:sz w:val="22"/>
        </w:rPr>
        <w:t>ME-101 defines a discrete recurrence with constant real parameters lambda and C.</w:t>
      </w:r>
    </w:p>
    <w:p>
      <w:pPr>
        <w:pStyle w:val="EquationDisplay"/>
        <w:jc w:val="center"/>
        <w:widowControl/>
      </w:pPr>
      <w:r>
        <w:rPr>
          <w:rFonts w:ascii="Cambria Math" w:hAnsi="Cambria Math"/>
          <w:color w:val="0B2545"/>
          <w:sz w:val="23"/>
        </w:rPr>
        <w:t>Iₙ₊₁ = Iₙ + λC,    I₀ = initial</w:t>
      </w:r>
      <w:r>
        <w:rPr>
          <w:rFonts w:ascii="Cambria Math" w:hAnsi="Cambria Math"/>
          <w:color w:val="5C6570"/>
          <w:sz w:val="20"/>
        </w:rPr>
        <w:t xml:space="preserve">    (6)</w:t>
      </w:r>
    </w:p>
    <w:p>
      <w:pPr>
        <w:pStyle w:val="TheoremBlock"/>
        <w:keepLines/>
        <w:widowControl/>
      </w:pPr>
      <w:r>
        <w:rPr>
          <w:rFonts w:ascii="Calibri" w:hAnsi="Calibri"/>
          <w:b/>
          <w:color w:val="0B2545"/>
          <w:sz w:val="22"/>
        </w:rPr>
        <w:t xml:space="preserve">Theorem 7 (closed form). </w:t>
      </w:r>
      <w:r>
        <w:rPr>
          <w:rFonts w:ascii="Calibri" w:hAnsi="Calibri"/>
          <w:sz w:val="22"/>
        </w:rPr>
        <w:t>For every natural number n, I_n = initial + n(lambda C).</w:t>
      </w:r>
      <w:r>
        <w:rPr>
          <w:rFonts w:ascii="Consolas" w:hAnsi="Consolas"/>
          <w:color w:val="5C6570"/>
          <w:sz w:val="17"/>
        </w:rPr>
        <w:t xml:space="preserve">  [Lean: ME101.identityTrajectory_closedForm]</w:t>
      </w:r>
    </w:p>
    <w:p>
      <w:pPr>
        <w:widowControl/>
      </w:pPr>
      <w:r>
        <w:rPr>
          <w:rFonts w:ascii="Calibri" w:hAnsi="Calibri"/>
          <w:sz w:val="22"/>
        </w:rPr>
        <w:t>Proof. The base case n = 0 is immediate. For the induction step, substitute the induction hypothesis into the recurrence and use distributivity to rewrite n(lambda C) + lambda C as (n + 1)(lambda C). The Lean proof performs structural induction over n and closes the real-algebra normalization with the ring tactic.</w:t>
      </w:r>
    </w:p>
    <w:p>
      <w:pPr>
        <w:pStyle w:val="Heading2"/>
        <w:keepNext/>
        <w:widowControl/>
      </w:pPr>
      <w:r>
        <w:t>8.2 Growth theorems</w:t>
      </w:r>
    </w:p>
    <w:p>
      <w:pPr>
        <w:pStyle w:val="TheoremBlock"/>
        <w:keepLines/>
        <w:widowControl/>
      </w:pPr>
      <w:r>
        <w:rPr>
          <w:rFonts w:ascii="Calibri" w:hAnsi="Calibri"/>
          <w:b/>
          <w:color w:val="0B2545"/>
          <w:sz w:val="22"/>
        </w:rPr>
        <w:t xml:space="preserve">Theorem 8 (strict monotonicity under positive gain). </w:t>
      </w:r>
      <w:r>
        <w:rPr>
          <w:rFonts w:ascii="Calibri" w:hAnsi="Calibri"/>
          <w:sz w:val="22"/>
        </w:rPr>
        <w:t>If lambda C &gt; 0, then n maps to I_n strictly monotonically.</w:t>
      </w:r>
      <w:r>
        <w:rPr>
          <w:rFonts w:ascii="Consolas" w:hAnsi="Consolas"/>
          <w:color w:val="5C6570"/>
          <w:sz w:val="17"/>
        </w:rPr>
        <w:t xml:space="preserve">  [Lean: ME101.identityTrajectory_strictMono]</w:t>
      </w:r>
    </w:p>
    <w:p>
      <w:pPr>
        <w:pStyle w:val="TheoremBlock"/>
        <w:keepLines/>
        <w:widowControl/>
      </w:pPr>
      <w:r>
        <w:rPr>
          <w:rFonts w:ascii="Calibri" w:hAnsi="Calibri"/>
          <w:b/>
          <w:color w:val="0B2545"/>
          <w:sz w:val="22"/>
        </w:rPr>
        <w:t xml:space="preserve">Theorem 9 (divergence under positive gain). </w:t>
      </w:r>
      <w:r>
        <w:rPr>
          <w:rFonts w:ascii="Calibri" w:hAnsi="Calibri"/>
          <w:sz w:val="22"/>
        </w:rPr>
        <w:t>If lambda C &gt; 0, then I_n tends to positive infinity as n tends to infinity.</w:t>
      </w:r>
      <w:r>
        <w:rPr>
          <w:rFonts w:ascii="Consolas" w:hAnsi="Consolas"/>
          <w:color w:val="5C6570"/>
          <w:sz w:val="17"/>
        </w:rPr>
        <w:t xml:space="preserve">  [Lean: ME101.identityTrajectory_tendsto_atTop]</w:t>
      </w:r>
    </w:p>
    <w:p>
      <w:pPr>
        <w:widowControl/>
      </w:pPr>
      <w:r>
        <w:rPr>
          <w:rFonts w:ascii="Calibri" w:hAnsi="Calibri"/>
          <w:sz w:val="22"/>
        </w:rPr>
        <w:t>These results formalize the word 'increases' only under the explicit sign condition lambda C &gt; 0. They also show that constant positive accumulation is not bounded persistence: it is linear divergence. If identity is intended to remain within a finite scale, the recurrence needs additional structure such as decay, saturation, normalization, a bounded state space, or a time-varying coherence input whose cumulative contribution is finite.</w:t>
      </w:r>
    </w:p>
    <w:p>
      <w:pPr>
        <w:pStyle w:val="Heading1"/>
        <w:keepNext/>
        <w:widowControl/>
      </w:pPr>
      <w:r>
        <w:t>9. Integrated implications for EFMW</w:t>
      </w:r>
    </w:p>
    <w:p>
      <w:pPr>
        <w:pStyle w:val="Heading2"/>
        <w:keepNext/>
        <w:widowControl/>
      </w:pPr>
      <w:r>
        <w:t>9.1 Formalization functions as an adversarial audit</w:t>
      </w:r>
    </w:p>
    <w:p>
      <w:pPr>
        <w:widowControl/>
      </w:pPr>
      <w:r>
        <w:rPr>
          <w:rFonts w:ascii="Calibri" w:hAnsi="Calibri"/>
          <w:sz w:val="22"/>
        </w:rPr>
        <w:t>The first theorem tranche does not simply certify formulas. It changes them. ME-036 and ME-037 lose one independently observable coefficient under symmetry. ME-088 cannot produce nonzero output from literal zero. ME-096 fails as a sufficient convergence rule. ME-101 grows without bound under the very condition used to justify increasing persistence. These are productive corrections because they identify exactly where new definitions or mechanisms must enter.</w:t>
      </w:r>
    </w:p>
    <w:p>
      <w:pPr>
        <w:pStyle w:val="Heading2"/>
        <w:keepNext/>
        <w:widowControl/>
      </w:pPr>
      <w:r>
        <w:t>9.2 Negative theorems are substantive results</w:t>
      </w:r>
    </w:p>
    <w:p>
      <w:pPr>
        <w:widowControl/>
      </w:pPr>
      <w:r>
        <w:rPr>
          <w:rFonts w:ascii="Calibri" w:hAnsi="Calibri"/>
          <w:sz w:val="22"/>
        </w:rPr>
        <w:t>A no-go theorem is not a failed formalization. It is a successful determination that a desired interpretation does not follow from the current equation. In this tranche, the strongest results are negative: ME-088 preserves zero, and ME-096 admits a divergent counterexample. These findings reduce ambiguity and prevent later empirical work from testing claims that the mathematics does not encode.</w:t>
      </w:r>
    </w:p>
    <w:p>
      <w:pPr>
        <w:pStyle w:val="Heading2"/>
        <w:keepNext/>
        <w:widowControl/>
      </w:pPr>
      <w:r>
        <w:t>9.3 The theorem kernel is conditional, not universal</w:t>
      </w:r>
    </w:p>
    <w:p>
      <w:pPr>
        <w:widowControl/>
      </w:pPr>
      <w:r>
        <w:rPr>
          <w:rFonts w:ascii="Calibri" w:hAnsi="Calibri"/>
          <w:sz w:val="22"/>
        </w:rPr>
        <w:t>Every result is conditional on its types and hypotheses. The cross-gradient theorems require symmetry. The rebirth result requires a real-valued null output equal to zero and a multiplicative scalar-23 operation. The convergence counterexample is constructed in the real numbers. The identity-growth theorems assume constant real lambda and coherence. These assumptions make the results clear and reusable, but they define the boundary of what has been proved.</w:t>
      </w:r>
    </w:p>
    <w:p>
      <w:pPr>
        <w:pStyle w:val="Heading1"/>
        <w:keepNext/>
        <w:widowControl/>
      </w:pPr>
      <w:r>
        <w:t>10. Claims not established by this work</w:t>
      </w:r>
    </w:p>
    <w:p>
      <w:pPr>
        <w:widowControl/>
      </w:pPr>
      <w:r>
        <w:rPr>
          <w:rFonts w:ascii="Calibri" w:hAnsi="Calibri"/>
          <w:sz w:val="22"/>
        </w:rPr>
        <w:t>No theorem in this paper establishes the existence, uniqueness, stability, or empirical adequacy of an EFMW field equation. No theorem establishes a new physical interaction, a theory of consciousness, an observer-dependent law of nature, a biological rebirth process, or a validated measure of identity. No theorem shows that phi^23 has a privileged physical role. The full partial differential equations in ME-036 and ME-037 remain without defined spatial domains, function spaces, boundary conditions, units, or well-posedness results.</w:t>
      </w:r>
    </w:p>
    <w:p>
      <w:pPr>
        <w:widowControl/>
      </w:pPr>
      <w:r>
        <w:rPr>
          <w:rFonts w:ascii="Calibri" w:hAnsi="Calibri"/>
          <w:sz w:val="22"/>
        </w:rPr>
        <w:t>Likewise, successful compilation is not empirical replication. Lean verifies entailment inside the formal model. External validation would require operational definitions, datasets or physical measurements, baseline comparisons, pre-registered predictions, uncertainty analysis, and independent reproduction. These requirements are complements to formal proof rather than competitors with it.</w:t>
      </w:r>
    </w:p>
    <w:p>
      <w:pPr>
        <w:pStyle w:val="Heading1"/>
        <w:keepNext/>
        <w:widowControl/>
      </w:pPr>
      <w:r>
        <w:t>11. Recommended next theorem program</w:t>
      </w:r>
    </w:p>
    <w:p>
      <w:pPr>
        <w:pStyle w:val="Heading2"/>
        <w:keepNext/>
        <w:widowControl/>
      </w:pPr>
      <w:r>
        <w:t>11.1 Repair ME-096</w:t>
      </w:r>
    </w:p>
    <w:p>
      <w:pPr>
        <w:widowControl/>
      </w:pPr>
      <w:r>
        <w:rPr>
          <w:rFonts w:ascii="Calibri" w:hAnsi="Calibri"/>
          <w:sz w:val="22"/>
        </w:rPr>
        <w:t>Replace the increment-only statement with one or more explicitly sufficient propositions: a Cauchy criterion in a complete metric space, summability of increment norms, a contraction theorem, or a monotone-bounded theorem for ordered states. The chosen result should match the intended application rather than serving as a generic convergence slogan.</w:t>
      </w:r>
    </w:p>
    <w:p>
      <w:pPr>
        <w:pStyle w:val="Heading2"/>
        <w:keepNext/>
        <w:widowControl/>
      </w:pPr>
      <w:r>
        <w:t>11.2 Specify the ME-036/037 operator layer</w:t>
      </w:r>
    </w:p>
    <w:p>
      <w:pPr>
        <w:widowControl/>
      </w:pPr>
      <w:r>
        <w:rPr>
          <w:rFonts w:ascii="Calibri" w:hAnsi="Calibri"/>
          <w:sz w:val="22"/>
        </w:rPr>
        <w:t>Define the spatial domain, field codomain, regularity class, Laplacian, gradient pairing, coefficients, forcing terms, initial conditions, and boundary conditions. Before attempting PDE existence or stability, decide whether the cross operator is intended to be symmetric. If it is, replace alpha and beta with a single identifiable parameter. If it is not, encode the asymmetry directly and justify its interpretation.</w:t>
      </w:r>
    </w:p>
    <w:p>
      <w:pPr>
        <w:pStyle w:val="Heading2"/>
        <w:keepNext/>
        <w:widowControl/>
      </w:pPr>
      <w:r>
        <w:t>11.3 Specify rebirth semantics</w:t>
      </w:r>
    </w:p>
    <w:p>
      <w:pPr>
        <w:widowControl/>
      </w:pPr>
      <w:r>
        <w:rPr>
          <w:rFonts w:ascii="Calibri" w:hAnsi="Calibri"/>
          <w:sz w:val="22"/>
        </w:rPr>
        <w:t>Determine whether N(X) is literally zero, a distinguished algebraic null element, a latent state, or a transition event. If a nonzero output is intended, state the source of that output. A nonhomogeneous affine term, boundary input, stochastic seed, or nonlinear state-construction rule can be formalized, but ordinary scaling cannot supply it.</w:t>
      </w:r>
    </w:p>
    <w:p>
      <w:pPr>
        <w:pStyle w:val="Heading2"/>
        <w:keepNext/>
        <w:widowControl/>
      </w:pPr>
      <w:r>
        <w:t>11.4 Bound or reinterpret ME-101</w:t>
      </w:r>
    </w:p>
    <w:p>
      <w:pPr>
        <w:widowControl/>
      </w:pPr>
      <w:r>
        <w:rPr>
          <w:rFonts w:ascii="Calibri" w:hAnsi="Calibri"/>
          <w:sz w:val="22"/>
        </w:rPr>
        <w:t>If identity persistence is intended as a bounded quantity, introduce a capacity or decay law and prove invariance of the allowed interval. If the linear recurrence is retained, interpret it as cumulative evidence or accumulated exposure rather than bounded identity. In either case, connect the state variable to an observable measurement protocol before asserting scientific content.</w:t>
      </w:r>
    </w:p>
    <w:p>
      <w:pPr>
        <w:pStyle w:val="Heading2"/>
        <w:keepNext/>
        <w:widowControl/>
      </w:pPr>
      <w:r>
        <w:t>11.5 Extend the theorem-ready family scan</w:t>
      </w:r>
    </w:p>
    <w:p>
      <w:pPr>
        <w:widowControl/>
      </w:pPr>
      <w:r>
        <w:rPr>
          <w:rFonts w:ascii="Calibri" w:hAnsi="Calibri"/>
          <w:sz w:val="22"/>
        </w:rPr>
        <w:t>The efficient next pass should proceed by equation family rather than by forcing every equation-animal combination. Algebraic updates can share recurrence lemmas; information-theoretic entries can share probability spaces and entropy definitions; PDE entries can share a field-and-operator layer; and safety criteria can share decision predicates. Each new theorem should carry a source equation, explicit assumptions, a compiled proof, a failure condition, and a statement of what remains empirical.</w:t>
      </w:r>
    </w:p>
    <w:p>
      <w:pPr>
        <w:pStyle w:val="Heading1"/>
        <w:keepNext/>
        <w:widowControl/>
      </w:pPr>
      <w:r>
        <w:t>12. Conclusion</w:t>
      </w:r>
    </w:p>
    <w:p>
      <w:pPr>
        <w:widowControl/>
      </w:pPr>
      <w:r>
        <w:rPr>
          <w:rFonts w:ascii="Calibri" w:hAnsi="Calibri"/>
          <w:sz w:val="22"/>
        </w:rPr>
        <w:t>The first EFMW theorem tranche demonstrates that the Monolithic 102 corpus can yield genuine, kernel-checked mathematical results when its claims are narrowed to explicit structures. Twelve declarations now establish coefficient collapse, structural non-identifiability, observer/system coupling agreement, zero preservation, a concrete convergence counterexample, a recurrence closed form, strict monotonicity, and divergence to positive infinity.</w:t>
      </w:r>
    </w:p>
    <w:p>
      <w:pPr>
        <w:widowControl/>
      </w:pPr>
      <w:r>
        <w:rPr>
          <w:rFonts w:ascii="Calibri" w:hAnsi="Calibri"/>
          <w:sz w:val="22"/>
        </w:rPr>
        <w:t>The results do not prove EFMW as a physical theory. They do something more immediately useful: they separate valid consequence from metaphor, expose where current equations are redundant or insufficient, and create precise obligations for the next formal and empirical stages. The durable theorem kernel is therefore modest but real. Its value lies in the fact that it can be inspected, recompiled, challenged, and extended without requiring belief in the surrounding framework.</w:t>
      </w:r>
    </w:p>
    <w:p>
      <w:pPr>
        <w:widowControl/>
      </w:pPr>
      <w:r>
        <w:br w:type="page"/>
      </w:r>
    </w:p>
    <w:p>
      <w:pPr>
        <w:pStyle w:val="Heading1"/>
        <w:keepNext/>
        <w:widowControl/>
      </w:pPr>
      <w:r>
        <w:t>Appendix A. Compiled Lean theorem declarations</w:t>
      </w:r>
    </w:p>
    <w:p>
      <w:pPr>
        <w:widowControl/>
      </w:pPr>
      <w:r>
        <w:rPr>
          <w:rFonts w:ascii="Calibri" w:hAnsi="Calibri"/>
          <w:sz w:val="22"/>
        </w:rPr>
        <w:t>The following signatures identify the twelve declarations in the five-module tranche. Namespace prefixes are included where useful; proof bodies remain in the Lean source files.</w:t>
      </w:r>
    </w:p>
    <w:p>
      <w:pPr>
        <w:pStyle w:val="Heading2"/>
        <w:keepNext/>
        <w:widowControl/>
      </w:pPr>
      <w:r>
        <w:t>A.1 ME-036</w:t>
      </w:r>
    </w:p>
    <w:p>
      <w:pPr>
        <w:pStyle w:val="CodeBlock"/>
        <w:widowControl/>
      </w:pPr>
      <w:r>
        <w:rPr>
          <w:rFonts w:ascii="Consolas" w:hAnsi="Consolas"/>
          <w:color w:val="0B2545"/>
          <w:sz w:val="16"/>
        </w:rPr>
        <w:t>theorem crossGradientCoupling_collapse</w:t>
        <w:br/>
      </w:r>
      <w:r>
        <w:rPr>
          <w:rFonts w:ascii="Consolas" w:hAnsi="Consolas"/>
          <w:color w:val="0B2545"/>
          <w:sz w:val="16"/>
        </w:rPr>
        <w:t xml:space="preserve">  (hSymm : forall x y, dot x y = dot y x) :</w:t>
        <w:br/>
      </w:r>
      <w:r>
        <w:rPr>
          <w:rFonts w:ascii="Consolas" w:hAnsi="Consolas"/>
          <w:color w:val="0B2545"/>
          <w:sz w:val="16"/>
        </w:rPr>
        <w:t xml:space="preserve">  crossGradientCoupling dot alpha beta gradS gradO =</w:t>
        <w:br/>
      </w:r>
      <w:r>
        <w:rPr>
          <w:rFonts w:ascii="Consolas" w:hAnsi="Consolas"/>
          <w:color w:val="0B2545"/>
          <w:sz w:val="16"/>
        </w:rPr>
        <w:t xml:space="preserve">    (alpha + beta) * dot gradS gradO</w:t>
        <w:br/>
      </w:r>
      <w:r>
        <w:rPr>
          <w:rFonts w:ascii="Consolas" w:hAnsi="Consolas"/>
          <w:color w:val="0B2545"/>
          <w:sz w:val="16"/>
        </w:rPr>
        <w:br/>
      </w:r>
      <w:r>
        <w:rPr>
          <w:rFonts w:ascii="Consolas" w:hAnsi="Consolas"/>
          <w:color w:val="0B2545"/>
          <w:sz w:val="16"/>
        </w:rPr>
        <w:t>theorem crossGradientCoupling_nonidentifiable</w:t>
        <w:br/>
      </w:r>
      <w:r>
        <w:rPr>
          <w:rFonts w:ascii="Consolas" w:hAnsi="Consolas"/>
          <w:color w:val="0B2545"/>
          <w:sz w:val="16"/>
        </w:rPr>
        <w:t xml:space="preserve">  (hSymm : forall x y, dot x y = dot y x)</w:t>
        <w:br/>
      </w:r>
      <w:r>
        <w:rPr>
          <w:rFonts w:ascii="Consolas" w:hAnsi="Consolas"/>
          <w:color w:val="0B2545"/>
          <w:sz w:val="16"/>
        </w:rPr>
        <w:t xml:space="preserve">  (hSum : alpha + beta = alpha' + beta') :</w:t>
        <w:br/>
      </w:r>
      <w:r>
        <w:rPr>
          <w:rFonts w:ascii="Consolas" w:hAnsi="Consolas"/>
          <w:color w:val="0B2545"/>
          <w:sz w:val="16"/>
        </w:rPr>
        <w:t xml:space="preserve">  crossGradientCoupling dot alpha beta gradS gradO =</w:t>
        <w:br/>
      </w:r>
      <w:r>
        <w:rPr>
          <w:rFonts w:ascii="Consolas" w:hAnsi="Consolas"/>
          <w:color w:val="0B2545"/>
          <w:sz w:val="16"/>
        </w:rPr>
        <w:t xml:space="preserve">    crossGradientCoupling dot alpha' beta' gradS gradO</w:t>
      </w:r>
    </w:p>
    <w:p>
      <w:pPr>
        <w:pStyle w:val="Heading2"/>
        <w:keepNext/>
        <w:widowControl/>
      </w:pPr>
      <w:r>
        <w:t>A.2 ME-037</w:t>
      </w:r>
    </w:p>
    <w:p>
      <w:pPr>
        <w:pStyle w:val="CodeBlock"/>
        <w:widowControl/>
      </w:pPr>
      <w:r>
        <w:rPr>
          <w:rFonts w:ascii="Consolas" w:hAnsi="Consolas"/>
          <w:color w:val="0B2545"/>
          <w:sz w:val="16"/>
        </w:rPr>
        <w:t>theorem observerCrossGradientCoupling_collapse</w:t>
        <w:br/>
      </w:r>
      <w:r>
        <w:rPr>
          <w:rFonts w:ascii="Consolas" w:hAnsi="Consolas"/>
          <w:color w:val="0B2545"/>
          <w:sz w:val="16"/>
        </w:rPr>
        <w:t xml:space="preserve">  (hSymm : forall x y, dot x y = dot y x) :</w:t>
        <w:br/>
      </w:r>
      <w:r>
        <w:rPr>
          <w:rFonts w:ascii="Consolas" w:hAnsi="Consolas"/>
          <w:color w:val="0B2545"/>
          <w:sz w:val="16"/>
        </w:rPr>
        <w:t xml:space="preserve">  observerCrossGradientCoupling dot alpha beta gradO gradS =</w:t>
        <w:br/>
      </w:r>
      <w:r>
        <w:rPr>
          <w:rFonts w:ascii="Consolas" w:hAnsi="Consolas"/>
          <w:color w:val="0B2545"/>
          <w:sz w:val="16"/>
        </w:rPr>
        <w:t xml:space="preserve">    (alpha + beta) * dot gradO gradS</w:t>
        <w:br/>
      </w:r>
      <w:r>
        <w:rPr>
          <w:rFonts w:ascii="Consolas" w:hAnsi="Consolas"/>
          <w:color w:val="0B2545"/>
          <w:sz w:val="16"/>
        </w:rPr>
        <w:br/>
      </w:r>
      <w:r>
        <w:rPr>
          <w:rFonts w:ascii="Consolas" w:hAnsi="Consolas"/>
          <w:color w:val="0B2545"/>
          <w:sz w:val="16"/>
        </w:rPr>
        <w:t>theorem system_observer_effectiveCoefficient_agree</w:t>
        <w:br/>
      </w:r>
      <w:r>
        <w:rPr>
          <w:rFonts w:ascii="Consolas" w:hAnsi="Consolas"/>
          <w:color w:val="0B2545"/>
          <w:sz w:val="16"/>
        </w:rPr>
        <w:t xml:space="preserve">  (hSymm : forall x y, dot x y = dot y x) :</w:t>
        <w:br/>
      </w:r>
      <w:r>
        <w:rPr>
          <w:rFonts w:ascii="Consolas" w:hAnsi="Consolas"/>
          <w:color w:val="0B2545"/>
          <w:sz w:val="16"/>
        </w:rPr>
        <w:t xml:space="preserve">  ME036.crossGradientCoupling dot alpha beta gradS gradO =</w:t>
        <w:br/>
      </w:r>
      <w:r>
        <w:rPr>
          <w:rFonts w:ascii="Consolas" w:hAnsi="Consolas"/>
          <w:color w:val="0B2545"/>
          <w:sz w:val="16"/>
        </w:rPr>
        <w:t xml:space="preserve">    observerCrossGradientCoupling dot alpha beta gradO gradS</w:t>
      </w:r>
    </w:p>
    <w:p>
      <w:pPr>
        <w:pStyle w:val="Heading2"/>
        <w:keepNext/>
        <w:widowControl/>
      </w:pPr>
      <w:r>
        <w:t>A.3 ME-088</w:t>
      </w:r>
    </w:p>
    <w:p>
      <w:pPr>
        <w:pStyle w:val="CodeBlock"/>
        <w:widowControl/>
      </w:pPr>
      <w:r>
        <w:rPr>
          <w:rFonts w:ascii="Consolas" w:hAnsi="Consolas"/>
          <w:color w:val="0B2545"/>
          <w:sz w:val="16"/>
        </w:rPr>
        <w:t>theorem null_rebirth_no_go</w:t>
        <w:br/>
      </w:r>
      <w:r>
        <w:rPr>
          <w:rFonts w:ascii="Consolas" w:hAnsi="Consolas"/>
          <w:color w:val="0B2545"/>
          <w:sz w:val="16"/>
        </w:rPr>
        <w:t xml:space="preserve">  (nullOperator : Real -&gt; Real) (x : Real)</w:t>
        <w:br/>
      </w:r>
      <w:r>
        <w:rPr>
          <w:rFonts w:ascii="Consolas" w:hAnsi="Consolas"/>
          <w:color w:val="0B2545"/>
          <w:sz w:val="16"/>
        </w:rPr>
        <w:t xml:space="preserve">  (hNull : nullOperator x = 0) :</w:t>
        <w:br/>
      </w:r>
      <w:r>
        <w:rPr>
          <w:rFonts w:ascii="Consolas" w:hAnsi="Consolas"/>
          <w:color w:val="0B2545"/>
          <w:sz w:val="16"/>
        </w:rPr>
        <w:t xml:space="preserve">  rebirth nullOperator x = 0</w:t>
      </w:r>
    </w:p>
    <w:p>
      <w:pPr>
        <w:pStyle w:val="Heading2"/>
        <w:keepNext/>
        <w:widowControl/>
      </w:pPr>
      <w:r>
        <w:t>A.4 ME-096</w:t>
      </w:r>
    </w:p>
    <w:p>
      <w:pPr>
        <w:pStyle w:val="CodeBlock"/>
        <w:widowControl/>
      </w:pPr>
      <w:r>
        <w:rPr>
          <w:rFonts w:ascii="Consolas" w:hAnsi="Consolas"/>
          <w:color w:val="0B2545"/>
          <w:sz w:val="16"/>
        </w:rPr>
        <w:t>theorem harmonicTrajectory_increment (n : Nat) :</w:t>
        <w:br/>
      </w:r>
      <w:r>
        <w:rPr>
          <w:rFonts w:ascii="Consolas" w:hAnsi="Consolas"/>
          <w:color w:val="0B2545"/>
          <w:sz w:val="16"/>
        </w:rPr>
        <w:t xml:space="preserve">  harmonicTrajectory (n + 1) - harmonicTrajectory n =</w:t>
        <w:br/>
      </w:r>
      <w:r>
        <w:rPr>
          <w:rFonts w:ascii="Consolas" w:hAnsi="Consolas"/>
          <w:color w:val="0B2545"/>
          <w:sz w:val="16"/>
        </w:rPr>
        <w:t xml:space="preserve">    1 / ((n : Real) + 1)</w:t>
        <w:br/>
      </w:r>
      <w:r>
        <w:rPr>
          <w:rFonts w:ascii="Consolas" w:hAnsi="Consolas"/>
          <w:color w:val="0B2545"/>
          <w:sz w:val="16"/>
        </w:rPr>
        <w:br/>
      </w:r>
      <w:r>
        <w:rPr>
          <w:rFonts w:ascii="Consolas" w:hAnsi="Consolas"/>
          <w:color w:val="0B2545"/>
          <w:sz w:val="16"/>
        </w:rPr>
        <w:t>theorem harmonicTrajectory_increments_tend_to_zero :</w:t>
        <w:br/>
      </w:r>
      <w:r>
        <w:rPr>
          <w:rFonts w:ascii="Consolas" w:hAnsi="Consolas"/>
          <w:color w:val="0B2545"/>
          <w:sz w:val="16"/>
        </w:rPr>
        <w:t xml:space="preserve">  Tendsto (fun n =&gt; abs (harmonicTrajectory (n + 1) -</w:t>
        <w:br/>
      </w:r>
      <w:r>
        <w:rPr>
          <w:rFonts w:ascii="Consolas" w:hAnsi="Consolas"/>
          <w:color w:val="0B2545"/>
          <w:sz w:val="16"/>
        </w:rPr>
        <w:t xml:space="preserve">    harmonicTrajectory n)) atTop (nhds 0)</w:t>
        <w:br/>
      </w:r>
      <w:r>
        <w:rPr>
          <w:rFonts w:ascii="Consolas" w:hAnsi="Consolas"/>
          <w:color w:val="0B2545"/>
          <w:sz w:val="16"/>
        </w:rPr>
        <w:br/>
      </w:r>
      <w:r>
        <w:rPr>
          <w:rFonts w:ascii="Consolas" w:hAnsi="Consolas"/>
          <w:color w:val="0B2545"/>
          <w:sz w:val="16"/>
        </w:rPr>
        <w:t>theorem harmonicTrajectory_not_convergent :</w:t>
        <w:br/>
      </w:r>
      <w:r>
        <w:rPr>
          <w:rFonts w:ascii="Consolas" w:hAnsi="Consolas"/>
          <w:color w:val="0B2545"/>
          <w:sz w:val="16"/>
        </w:rPr>
        <w:t xml:space="preserve">  not exists limit : Real,</w:t>
        <w:br/>
      </w:r>
      <w:r>
        <w:rPr>
          <w:rFonts w:ascii="Consolas" w:hAnsi="Consolas"/>
          <w:color w:val="0B2545"/>
          <w:sz w:val="16"/>
        </w:rPr>
        <w:t xml:space="preserve">    Tendsto harmonicTrajectory atTop (nhds limit)</w:t>
        <w:br/>
      </w:r>
      <w:r>
        <w:rPr>
          <w:rFonts w:ascii="Consolas" w:hAnsi="Consolas"/>
          <w:color w:val="0B2545"/>
          <w:sz w:val="16"/>
        </w:rPr>
        <w:br/>
      </w:r>
      <w:r>
        <w:rPr>
          <w:rFonts w:ascii="Consolas" w:hAnsi="Consolas"/>
          <w:color w:val="0B2545"/>
          <w:sz w:val="16"/>
        </w:rPr>
        <w:t>theorem vanishing_increments_do_not_imply_convergence :</w:t>
        <w:br/>
      </w:r>
      <w:r>
        <w:rPr>
          <w:rFonts w:ascii="Consolas" w:hAnsi="Consolas"/>
          <w:color w:val="0B2545"/>
          <w:sz w:val="16"/>
        </w:rPr>
        <w:t xml:space="preserve">  exists trajectory : Nat -&gt; Real,</w:t>
        <w:br/>
      </w:r>
      <w:r>
        <w:rPr>
          <w:rFonts w:ascii="Consolas" w:hAnsi="Consolas"/>
          <w:color w:val="0B2545"/>
          <w:sz w:val="16"/>
        </w:rPr>
        <w:t xml:space="preserve">    Tendsto (fun n =&gt; abs (trajectory (n + 1) - trajectory n))</w:t>
        <w:br/>
      </w:r>
      <w:r>
        <w:rPr>
          <w:rFonts w:ascii="Consolas" w:hAnsi="Consolas"/>
          <w:color w:val="0B2545"/>
          <w:sz w:val="16"/>
        </w:rPr>
        <w:t xml:space="preserve">      atTop (nhds 0) and</w:t>
        <w:br/>
      </w:r>
      <w:r>
        <w:rPr>
          <w:rFonts w:ascii="Consolas" w:hAnsi="Consolas"/>
          <w:color w:val="0B2545"/>
          <w:sz w:val="16"/>
        </w:rPr>
        <w:t xml:space="preserve">    not exists limit : Real,</w:t>
        <w:br/>
      </w:r>
      <w:r>
        <w:rPr>
          <w:rFonts w:ascii="Consolas" w:hAnsi="Consolas"/>
          <w:color w:val="0B2545"/>
          <w:sz w:val="16"/>
        </w:rPr>
        <w:t xml:space="preserve">      Tendsto trajectory atTop (nhds limit)</w:t>
      </w:r>
    </w:p>
    <w:p>
      <w:pPr>
        <w:pStyle w:val="Heading2"/>
        <w:keepNext/>
        <w:widowControl/>
      </w:pPr>
      <w:r>
        <w:t>A.5 ME-101</w:t>
      </w:r>
    </w:p>
    <w:p>
      <w:pPr>
        <w:pStyle w:val="CodeBlock"/>
        <w:widowControl/>
      </w:pPr>
      <w:r>
        <w:rPr>
          <w:rFonts w:ascii="Consolas" w:hAnsi="Consolas"/>
          <w:color w:val="0B2545"/>
          <w:sz w:val="16"/>
        </w:rPr>
        <w:t>theorem identityTrajectory_closedForm (n : Nat) :</w:t>
        <w:br/>
      </w:r>
      <w:r>
        <w:rPr>
          <w:rFonts w:ascii="Consolas" w:hAnsi="Consolas"/>
          <w:color w:val="0B2545"/>
          <w:sz w:val="16"/>
        </w:rPr>
        <w:t xml:space="preserve">  identityTrajectory initial lambda coherence n =</w:t>
        <w:br/>
      </w:r>
      <w:r>
        <w:rPr>
          <w:rFonts w:ascii="Consolas" w:hAnsi="Consolas"/>
          <w:color w:val="0B2545"/>
          <w:sz w:val="16"/>
        </w:rPr>
        <w:t xml:space="preserve">    initial + (n : Real) * (lambda * coherence)</w:t>
        <w:br/>
      </w:r>
      <w:r>
        <w:rPr>
          <w:rFonts w:ascii="Consolas" w:hAnsi="Consolas"/>
          <w:color w:val="0B2545"/>
          <w:sz w:val="16"/>
        </w:rPr>
        <w:br/>
      </w:r>
      <w:r>
        <w:rPr>
          <w:rFonts w:ascii="Consolas" w:hAnsi="Consolas"/>
          <w:color w:val="0B2545"/>
          <w:sz w:val="16"/>
        </w:rPr>
        <w:t>theorem identityTrajectory_strictMono</w:t>
        <w:br/>
      </w:r>
      <w:r>
        <w:rPr>
          <w:rFonts w:ascii="Consolas" w:hAnsi="Consolas"/>
          <w:color w:val="0B2545"/>
          <w:sz w:val="16"/>
        </w:rPr>
        <w:t xml:space="preserve">  (hGain : 0 &lt; lambda * coherence) :</w:t>
        <w:br/>
      </w:r>
      <w:r>
        <w:rPr>
          <w:rFonts w:ascii="Consolas" w:hAnsi="Consolas"/>
          <w:color w:val="0B2545"/>
          <w:sz w:val="16"/>
        </w:rPr>
        <w:t xml:space="preserve">  StrictMono (identityTrajectory initial lambda coherence)</w:t>
        <w:br/>
      </w:r>
      <w:r>
        <w:rPr>
          <w:rFonts w:ascii="Consolas" w:hAnsi="Consolas"/>
          <w:color w:val="0B2545"/>
          <w:sz w:val="16"/>
        </w:rPr>
        <w:br/>
      </w:r>
      <w:r>
        <w:rPr>
          <w:rFonts w:ascii="Consolas" w:hAnsi="Consolas"/>
          <w:color w:val="0B2545"/>
          <w:sz w:val="16"/>
        </w:rPr>
        <w:t>theorem identityTrajectory_tendsto_atTop</w:t>
        <w:br/>
      </w:r>
      <w:r>
        <w:rPr>
          <w:rFonts w:ascii="Consolas" w:hAnsi="Consolas"/>
          <w:color w:val="0B2545"/>
          <w:sz w:val="16"/>
        </w:rPr>
        <w:t xml:space="preserve">  (hGain : 0 &lt; lambda * coherence) :</w:t>
        <w:br/>
      </w:r>
      <w:r>
        <w:rPr>
          <w:rFonts w:ascii="Consolas" w:hAnsi="Consolas"/>
          <w:color w:val="0B2545"/>
          <w:sz w:val="16"/>
        </w:rPr>
        <w:t xml:space="preserve">  Tendsto (identityTrajectory initial lambda coherence)</w:t>
        <w:br/>
      </w:r>
      <w:r>
        <w:rPr>
          <w:rFonts w:ascii="Consolas" w:hAnsi="Consolas"/>
          <w:color w:val="0B2545"/>
          <w:sz w:val="16"/>
        </w:rPr>
        <w:t xml:space="preserve">    atTop atTop</w:t>
      </w:r>
    </w:p>
    <w:p>
      <w:pPr>
        <w:pStyle w:val="Heading1"/>
        <w:keepNext/>
        <w:widowControl/>
      </w:pPr>
      <w:r>
        <w:t>References</w:t>
      </w:r>
    </w:p>
    <w:p>
      <w:pPr>
        <w:pStyle w:val="Reference"/>
        <w:widowControl/>
      </w:pPr>
      <w:r>
        <w:rPr>
          <w:rFonts w:ascii="Calibri" w:hAnsi="Calibri"/>
          <w:b/>
          <w:color w:val="0B2545"/>
          <w:sz w:val="22"/>
        </w:rPr>
        <w:t xml:space="preserve">[1] </w:t>
      </w:r>
      <w:r>
        <w:rPr>
          <w:rFonts w:ascii="Calibri" w:hAnsi="Calibri"/>
          <w:sz w:val="20"/>
        </w:rPr>
        <w:t>L. de Moura and S. Ullrich, 'The Lean 4 Theorem Prover and Programming Language,' Automated Deduction - CADE 28, Lecture Notes in Computer Science 12699, pp. 625-635, 2021. doi:10.1007/978-3-030-79876-5_37.</w:t>
      </w:r>
    </w:p>
    <w:p>
      <w:pPr>
        <w:pStyle w:val="Reference"/>
        <w:widowControl/>
      </w:pPr>
      <w:r>
        <w:rPr>
          <w:rFonts w:ascii="Calibri" w:hAnsi="Calibri"/>
          <w:b/>
          <w:color w:val="0B2545"/>
          <w:sz w:val="22"/>
        </w:rPr>
        <w:t xml:space="preserve">[2] </w:t>
      </w:r>
      <w:r>
        <w:rPr>
          <w:rFonts w:ascii="Calibri" w:hAnsi="Calibri"/>
          <w:sz w:val="20"/>
        </w:rPr>
        <w:t>The mathlib Community, 'The Lean Mathematical Library,' Proceedings of the 9th ACM SIGPLAN International Conference on Certified Programs and Proofs (CPP 2020), pp. 367-381, 2020. doi:10.1145/3372885.3373824.</w:t>
      </w:r>
    </w:p>
    <w:p>
      <w:pPr>
        <w:pStyle w:val="Reference"/>
        <w:widowControl/>
      </w:pPr>
      <w:r>
        <w:rPr>
          <w:rFonts w:ascii="Calibri" w:hAnsi="Calibri"/>
          <w:b/>
          <w:color w:val="0B2545"/>
          <w:sz w:val="22"/>
        </w:rPr>
        <w:t xml:space="preserve">[3] </w:t>
      </w:r>
      <w:r>
        <w:rPr>
          <w:rFonts w:ascii="Calibri" w:hAnsi="Calibri"/>
          <w:sz w:val="20"/>
        </w:rPr>
        <w:t>M. C. Wright, Monolithic 102 Equation Corpus and Lean 4 Companion, Monolithic LLC, technical corpus, 2026. The theorem tranche described here is recorded as commit edc8565.</w:t>
      </w:r>
    </w:p>
    <w:p>
      <w:pPr>
        <w:pStyle w:val="Reference"/>
        <w:widowControl/>
      </w:pPr>
      <w:r>
        <w:rPr>
          <w:rFonts w:ascii="Calibri" w:hAnsi="Calibri"/>
          <w:b/>
          <w:color w:val="0B2545"/>
          <w:sz w:val="22"/>
        </w:rPr>
        <w:t xml:space="preserve">[4] </w:t>
      </w:r>
      <w:r>
        <w:rPr>
          <w:rFonts w:ascii="Calibri" w:hAnsi="Calibri"/>
          <w:sz w:val="20"/>
        </w:rPr>
        <w:t>Lean Prover Community, mathlib4 repository and documentation, https://github.com/leanprover-community/mathlib4, version v4.19.0 used for this verification.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570"/>
        <w:sz w:val="18"/>
      </w:rPr>
      <w:t xml:space="preserve">Page </w:t>
    </w:r>
    <w:fldSimple w:instr="PAGE">
      <w:r>
        <w:rPr>
          <w:color w:val="5C6570"/>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C6570"/>
        <w:sz w:val="17"/>
      </w:rPr>
      <w:t>MONOLITHIC 102  /  FORMAL VERIFICATION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Display">
    <w:name w:val="Equation Display"/>
    <w:pPr>
      <w:keepLines/>
      <w:spacing w:before="80" w:after="160"/>
    </w:pPr>
    <w:rPr>
      <w:rFonts w:ascii="Cambria Math" w:hAnsi="Cambria Math"/>
      <w:sz w:val="23"/>
    </w:rPr>
  </w:style>
  <w:style w:type="paragraph" w:customStyle="1" w:styleId="TheoremBlock">
    <w:name w:val="Theorem Block"/>
    <w:pPr>
      <w:spacing w:before="100" w:after="140" w:line="288" w:lineRule="auto"/>
      <w:ind w:left="259" w:right="259"/>
      <w:shd w:fill="F4F6F9"/>
    </w:pPr>
    <w:rPr>
      <w:rFonts w:ascii="Calibri" w:hAnsi="Calibri"/>
      <w:sz w:val="21"/>
    </w:rPr>
  </w:style>
  <w:style w:type="paragraph" w:customStyle="1" w:styleId="CodeBlock">
    <w:name w:val="Code Block"/>
    <w:pPr>
      <w:keepLines/>
      <w:spacing w:before="80" w:after="160" w:line="240" w:lineRule="auto"/>
      <w:ind w:left="259" w:right="259"/>
      <w:shd w:fill="F7F9FB"/>
    </w:pPr>
    <w:rPr>
      <w:rFonts w:ascii="Consolas" w:hAnsi="Consolas"/>
      <w:sz w:val="16"/>
    </w:rPr>
  </w:style>
  <w:style w:type="paragraph" w:customStyle="1" w:styleId="Reference">
    <w:name w:val="Reference"/>
    <w:pPr>
      <w:spacing w:after="120" w:line="276" w:lineRule="auto"/>
      <w:ind w:left="461" w:hanging="461"/>
      <w:jc w:val="left"/>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Theorems Extracted from the EFMW / Monolithic 102 Corpus</dc:title>
  <dc:subject>Lean 4 formal verification of selected EFMW equations</dc:subject>
  <dc:creator>Matthew Chenoweth Wright</dc:creator>
  <cp:keywords>EFMW, Monolithic 102, Lean 4, formal verification, theorem proving</cp:keywords>
  <dc:description>Technical preprint; machine-checked mathematics is distinguished from scientific validation.</dc:description>
  <cp:lastModifiedBy/>
  <cp:revision>1</cp:revision>
  <dcterms:created xsi:type="dcterms:W3CDTF">2013-12-23T23:15:00Z</dcterms:created>
  <dcterms:modified xsi:type="dcterms:W3CDTF">2013-12-23T23:15:00Z</dcterms:modified>
  <cp:category/>
</cp:coreProperties>
</file>