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1240" w:after="360" w:line="240" w:lineRule="auto"/>
        <w:jc w:val="center"/>
      </w:pPr>
      <w:r>
        <w:rPr>
          <w:rFonts w:ascii="Calibri" w:hAnsi="Calibri" w:eastAsia="Calibri"/>
          <w:b/>
          <w:i w:val="0"/>
          <w:color w:val="9A6B14"/>
          <w:sz w:val="21"/>
        </w:rPr>
        <w:t>FORMAL VERIFICATION PAPER</w:t>
      </w:r>
    </w:p>
    <w:p>
      <w:pPr>
        <w:keepNext w:val="0"/>
        <w:keepLines/>
        <w:spacing w:before="0" w:after="200" w:line="245" w:lineRule="auto"/>
        <w:jc w:val="center"/>
      </w:pPr>
      <w:r>
        <w:rPr>
          <w:rFonts w:ascii="Calibri" w:hAnsi="Calibri" w:eastAsia="Calibri"/>
          <w:b/>
          <w:i w:val="0"/>
          <w:color w:val="203748"/>
          <w:sz w:val="60"/>
        </w:rPr>
        <w:t>The EFMW Theorem</w:t>
        <w:br/>
        <w:t>Tranche IV</w:t>
      </w:r>
    </w:p>
    <w:p>
      <w:pPr>
        <w:keepNext w:val="0"/>
        <w:keepLines/>
        <w:spacing w:before="0" w:after="600" w:line="276" w:lineRule="auto"/>
        <w:jc w:val="center"/>
      </w:pPr>
      <w:r>
        <w:rPr>
          <w:rFonts w:ascii="Calibri" w:hAnsi="Calibri" w:eastAsia="Calibri"/>
          <w:b w:val="0"/>
          <w:i w:val="0"/>
          <w:color w:val="1F4D78"/>
          <w:sz w:val="30"/>
        </w:rPr>
        <w:t>Finite-Precision Falsification and Conditional Observational Bounds</w:t>
        <w:br/>
        <w:t>in the EFMW / Monolithic 102 Corpus</w:t>
      </w:r>
    </w:p>
    <w:p>
      <w:pPr>
        <w:keepNext w:val="0"/>
        <w:keepLines/>
        <w:spacing w:before="0" w:after="1160" w:line="300" w:lineRule="auto"/>
        <w:jc w:val="center"/>
      </w:pPr>
      <w:r>
        <w:rPr>
          <w:rFonts w:ascii="Calibri" w:hAnsi="Calibri" w:eastAsia="Calibri"/>
          <w:b w:val="0"/>
          <w:i/>
          <w:color w:val="555555"/>
          <w:sz w:val="21"/>
        </w:rPr>
        <w:t>Twenty-one machine-checked theorems for ME-002/005, ME-056,</w:t>
        <w:br/>
        <w:t>and the general logic of continuous-parameter testing</w:t>
      </w:r>
    </w:p>
    <w:p>
      <w:pPr>
        <w:keepNext w:val="0"/>
        <w:keepLines/>
        <w:spacing w:before="0" w:after="100" w:line="240" w:lineRule="auto"/>
        <w:jc w:val="center"/>
      </w:pPr>
      <w:r>
        <w:rPr>
          <w:rFonts w:ascii="Calibri" w:hAnsi="Calibri" w:eastAsia="Calibri"/>
          <w:b/>
          <w:i w:val="0"/>
          <w:color w:val="203748"/>
          <w:sz w:val="24"/>
        </w:rPr>
        <w:t>Matthew Chenoweth Wright · Monolithic LLC</w:t>
      </w:r>
    </w:p>
    <w:p>
      <w:pPr>
        <w:keepNext w:val="0"/>
        <w:keepLines/>
        <w:spacing w:before="0" w:after="100" w:line="240" w:lineRule="auto"/>
        <w:jc w:val="center"/>
      </w:pPr>
      <w:r>
        <w:rPr>
          <w:rFonts w:ascii="Calibri" w:hAnsi="Calibri" w:eastAsia="Calibri"/>
          <w:b w:val="0"/>
          <w:i w:val="0"/>
          <w:color w:val="6B7280"/>
          <w:sz w:val="20"/>
        </w:rPr>
        <w:t>September 5, 2026 · Version 1.0</w:t>
      </w:r>
    </w:p>
    <w:p>
      <w:pPr>
        <w:keepNext w:val="0"/>
        <w:keepLines/>
        <w:spacing w:before="0" w:after="0" w:line="240" w:lineRule="auto"/>
        <w:jc w:val="center"/>
      </w:pPr>
      <w:r>
        <w:rPr>
          <w:rFonts w:ascii="Calibri" w:hAnsi="Calibri" w:eastAsia="Calibri"/>
          <w:b w:val="0"/>
          <w:i w:val="0"/>
          <w:color w:val="6B7280"/>
          <w:sz w:val="17"/>
        </w:rPr>
        <w:t>Lean source commit 301a95ef94ba8888f62fb39a9df2e3533041dd9a</w:t>
      </w:r>
    </w:p>
    <w:p>
      <w:r>
        <w:br w:type="page"/>
      </w:r>
    </w:p>
    <w:p>
      <w:pPr>
        <w:pStyle w:val="Heading1"/>
      </w:pPr>
      <w:r>
        <w:t>Abstract</w:t>
      </w:r>
    </w:p>
    <w:p>
      <w:pPr>
        <w:keepNext w:val="0"/>
        <w:keepLines/>
        <w:spacing w:before="0" w:after="200" w:line="320" w:lineRule="auto"/>
      </w:pPr>
      <w:r>
        <w:rPr>
          <w:rFonts w:ascii="Calibri" w:hAnsi="Calibri" w:eastAsia="Calibri"/>
          <w:b w:val="0"/>
          <w:i w:val="0"/>
          <w:color w:val="15212B"/>
        </w:rPr>
        <w:t>Tranche IV formalizes the asymmetry between falsifying a parameterized physical model and verifying one exact real-valued parameter from finite-precision data. The development introduces a minimal measurement semantics, proves local persistence of strict compatibility for finite families of continuous observables, and shows that such data cannot isolate a single real parameter. It also proves a complementary discrimination theorem: two predictions separated by more than twice a measurement precision cannot both fit the same reading. These generic results are then applied conditionally to a scalar-wave phase-speed law associated with the source-free ME-002/005 sector and to the rotating-Friedmann extension designated ME-056. The scalar-wave branch is shown to satisfy its homogeneous relation, to be uniquely nonnegative, and to yield explicit parameter bounds and discriminating precisions. The ME-056 definitions yield an exact deviation term and corresponding bounds on residual rotation. A final conjunction captures the central result: sufficiently precise experiments can exclude nonzero alternatives while finite strictly compatible continuous data do not, by themselves, certify an exact real parameter. All twenty-one declarations are kernel-checked in Lean 4 with Mathlib and contain no proof holes or custom axioms. The results are conditional mathematical consequences; they neither report observations nor establish the physical truth of the source equations.</w:t>
      </w:r>
    </w:p>
    <w:p>
      <w:pPr>
        <w:keepLines/>
        <w:spacing w:before="0" w:after="240" w:line="288" w:lineRule="auto"/>
        <w:jc w:val="left"/>
      </w:pPr>
      <w:r>
        <w:rPr>
          <w:rFonts w:ascii="Calibri" w:hAnsi="Calibri" w:eastAsia="Calibri"/>
          <w:b/>
          <w:color w:val="203748"/>
          <w:sz w:val="22"/>
        </w:rPr>
        <w:t xml:space="preserve">Keywords: </w:t>
      </w:r>
      <w:r>
        <w:rPr>
          <w:rFonts w:ascii="Calibri" w:hAnsi="Calibri" w:eastAsia="Calibri"/>
          <w:color w:val="15212B"/>
          <w:sz w:val="22"/>
        </w:rPr>
        <w:t>EFMW; Monolithic 102; Lean 4; formal verification; finite precision; falsification; parameter identification; scalar phase speed; Friedmann equation; observational bounds.</w:t>
      </w:r>
    </w:p>
    <w:p>
      <w:pPr>
        <w:pStyle w:val="Heading2"/>
      </w:pPr>
      <w:r>
        <w:t>Verification status</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700"/>
        <w:gridCol w:w="6660"/>
      </w:tblGrid>
      <w:tr>
        <w:trPr>
          <w:cantSplit/>
          <w:tblHeader w:val="true"/>
        </w:trPr>
        <w:tc>
          <w:tcPr>
            <w:tcW w:type="dxa" w:w="2700"/>
            <w:tcMar>
              <w:top w:w="80" w:type="dxa"/>
              <w:start w:w="120" w:type="dxa"/>
              <w:bottom w:w="80" w:type="dxa"/>
              <w:end w:w="120" w:type="dxa"/>
            </w:tcMar>
            <w:vAlign w:val="center"/>
            <w:shd w:fill="F4F6F9"/>
          </w:tcPr>
          <w:p>
            <w:pPr>
              <w:spacing w:after="0"/>
            </w:pPr>
            <w:r>
              <w:rPr>
                <w:rFonts w:ascii="Calibri" w:hAnsi="Calibri" w:eastAsia="Calibri"/>
                <w:b/>
                <w:color w:val="203748"/>
                <w:sz w:val="19"/>
              </w:rPr>
              <w:t>Item</w:t>
            </w:r>
          </w:p>
        </w:tc>
        <w:tc>
          <w:tcPr>
            <w:tcW w:type="dxa" w:w="6660"/>
            <w:tcMar>
              <w:top w:w="80" w:type="dxa"/>
              <w:start w:w="120" w:type="dxa"/>
              <w:bottom w:w="80" w:type="dxa"/>
              <w:end w:w="120" w:type="dxa"/>
            </w:tcMar>
            <w:vAlign w:val="center"/>
            <w:shd w:fill="F4F6F9"/>
          </w:tcPr>
          <w:p>
            <w:pPr>
              <w:spacing w:after="0"/>
            </w:pPr>
            <w:r>
              <w:rPr>
                <w:rFonts w:ascii="Calibri" w:hAnsi="Calibri" w:eastAsia="Calibri"/>
                <w:b/>
                <w:color w:val="203748"/>
                <w:sz w:val="19"/>
              </w:rPr>
              <w:t>Recorded result</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Tranche IV inventory</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21 theorem declarations, all kernel-checked</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Full project inventory</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63 checked declarations: 12 + 18 + 10 + 21 tranche theorems, plus 2 infrastructure results</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Build record</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Full lake build passed 2,073 targets</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Proof-hole audit</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No sorry, admit, or explicit axiom declarations in the proof source tree</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Environment</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Lean 4.19.0; Mathlib release 4.19.0 at c44e0c8ee63ca166450922a373c7409c5d26b00b</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Scope</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Conditional formal consequences only; no empirical confirmation or independent physical derivation</w:t>
            </w:r>
          </w:p>
        </w:tc>
      </w:tr>
    </w:tbl>
    <w:p>
      <w:pPr>
        <w:spacing w:after="0"/>
      </w:pPr>
    </w:p>
    <w:p>
      <w:r>
        <w:br w:type="page"/>
      </w:r>
    </w:p>
    <w:p>
      <w:pPr>
        <w:spacing w:before="0" w:after="0" w:line="20" w:lineRule="exact"/>
      </w:pPr>
      <w:r>
        <w:rPr>
          <w:rFonts w:ascii="Calibri" w:hAnsi="Calibri" w:eastAsia="Calibri"/>
          <w:color w:val="FFFFFF"/>
          <w:sz w:val="2"/>
        </w:rPr>
        <w:t xml:space="preserve"> </w:t>
      </w:r>
    </w:p>
    <w:p>
      <w:pPr>
        <w:pStyle w:val="Heading2"/>
      </w:pPr>
      <w:r>
        <w:t>Paper map</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700"/>
        <w:gridCol w:w="6660"/>
      </w:tblGrid>
      <w:tr>
        <w:trPr>
          <w:cantSplit/>
          <w:tblHeader w:val="true"/>
        </w:trPr>
        <w:tc>
          <w:tcPr>
            <w:tcW w:type="dxa" w:w="2700"/>
            <w:tcMar>
              <w:top w:w="80" w:type="dxa"/>
              <w:start w:w="120" w:type="dxa"/>
              <w:bottom w:w="80" w:type="dxa"/>
              <w:end w:w="120" w:type="dxa"/>
            </w:tcMar>
            <w:vAlign w:val="center"/>
            <w:shd w:fill="F4F6F9"/>
          </w:tcPr>
          <w:p>
            <w:pPr>
              <w:spacing w:after="0"/>
            </w:pPr>
            <w:r>
              <w:rPr>
                <w:rFonts w:ascii="Calibri" w:hAnsi="Calibri" w:eastAsia="Calibri"/>
                <w:b/>
                <w:color w:val="203748"/>
                <w:sz w:val="19"/>
              </w:rPr>
              <w:t>Part</w:t>
            </w:r>
          </w:p>
        </w:tc>
        <w:tc>
          <w:tcPr>
            <w:tcW w:type="dxa" w:w="6660"/>
            <w:tcMar>
              <w:top w:w="80" w:type="dxa"/>
              <w:start w:w="120" w:type="dxa"/>
              <w:bottom w:w="80" w:type="dxa"/>
              <w:end w:w="120" w:type="dxa"/>
            </w:tcMar>
            <w:vAlign w:val="center"/>
            <w:shd w:fill="F4F6F9"/>
          </w:tcPr>
          <w:p>
            <w:pPr>
              <w:spacing w:after="0"/>
            </w:pPr>
            <w:r>
              <w:rPr>
                <w:rFonts w:ascii="Calibri" w:hAnsi="Calibri" w:eastAsia="Calibri"/>
                <w:b/>
                <w:color w:val="203748"/>
                <w:sz w:val="19"/>
              </w:rPr>
              <w:t>Contents</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§1–2</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Problem, contribution, formalization policy, and provenance</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§3</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Finite-precision measurement semantics and Theorems IV.1–IV.5</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§4</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ME-002/005 phase-speed consequences and Theorems IV.6–IV.17</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§5</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ME-056 rotating-Friedmann consequences and Theorems IV.18–IV.20</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§6–8</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Combined asymmetry, interpretation, limitations, and reproducibility</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Appendices</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Complete theorem register and assumption ledger</w:t>
            </w:r>
          </w:p>
        </w:tc>
      </w:tr>
    </w:tbl>
    <w:p>
      <w:pPr>
        <w:spacing w:after="0"/>
      </w:pPr>
    </w:p>
    <w:p>
      <w:pPr>
        <w:pStyle w:val="Heading1"/>
      </w:pPr>
      <w:r>
        <w:t>1. Introduction</w:t>
      </w:r>
    </w:p>
    <w:p>
      <w:pPr>
        <w:keepNext w:val="0"/>
        <w:keepLines/>
        <w:spacing w:before="0" w:line="320" w:lineRule="auto"/>
      </w:pPr>
      <w:r>
        <w:rPr>
          <w:rFonts w:ascii="Calibri" w:hAnsi="Calibri" w:eastAsia="Calibri"/>
          <w:b w:val="0"/>
          <w:i w:val="0"/>
          <w:color w:val="15212B"/>
        </w:rPr>
        <w:t>A formalized equation corpus must distinguish at least three layers: the expression written in the corpus, the mathematical consequences derived after explicit assumptions are supplied, and the empirical claim that nature instantiates the model. Tranche IV is devoted to that separation. Its motivating question is not whether a finite experiment can be informative—it can—but what kind of logical conclusion finite-precision measurements warrant when the model parameter ranges over the real numbers.</w:t>
      </w:r>
    </w:p>
    <w:p>
      <w:pPr>
        <w:keepNext w:val="0"/>
        <w:keepLines/>
        <w:spacing w:before="0" w:line="320" w:lineRule="auto"/>
      </w:pPr>
      <w:r>
        <w:rPr>
          <w:rFonts w:ascii="Calibri" w:hAnsi="Calibri" w:eastAsia="Calibri"/>
          <w:b w:val="0"/>
          <w:i w:val="0"/>
          <w:color w:val="15212B"/>
        </w:rPr>
        <w:t>The central conclusion is deliberately asymmetric. Finite data can refute parameter values, separate alternatives, and impose quantitative bounds. Under continuity and strict interior compatibility, however, a finite list of measurements cannot identify one exact real parameter value: nearby values remain compatible. This is a local topological fact, not a probabilistic assertion and not a claim that scientific inference is impossible. Confidence regions, likelihoods, Bayesian posteriors, and model comparison can all add information; they simply are not equivalent to a deductive proof that a continuously varying parameter equals one exact real number.</w:t>
      </w:r>
    </w:p>
    <w:p>
      <w:pPr>
        <w:keepNext w:val="0"/>
        <w:keepLines/>
        <w:spacing w:before="0" w:line="320" w:lineRule="auto"/>
      </w:pPr>
      <w:r>
        <w:rPr>
          <w:rFonts w:ascii="Calibri" w:hAnsi="Calibri" w:eastAsia="Calibri"/>
          <w:b w:val="0"/>
          <w:i w:val="0"/>
          <w:color w:val="15212B"/>
        </w:rPr>
        <w:t>Tranche IV then specializes the generic logic to two sectors of the EFMW / Monolithic 102 corpus. For the source-free ME-002/005 scalar model, it treats the proposed phase speed v(c, α) = c/√(1−α²) in the admissible regime α² &lt; 1. For ME-056, it treats a Friedmann expression extended by ΩU²/a². The resulting theorems quantify gaps, bounds, and exact limiting cases without importing observational claims.</w:t>
      </w:r>
    </w:p>
    <w:p>
      <w:r>
        <w:br w:type="page"/>
      </w:r>
    </w:p>
    <w:p>
      <w:pPr>
        <w:spacing w:before="0" w:after="0" w:line="20" w:lineRule="exact"/>
      </w:pPr>
      <w:r>
        <w:rPr>
          <w:rFonts w:ascii="Calibri" w:hAnsi="Calibri" w:eastAsia="Calibri"/>
          <w:color w:val="FFFFFF"/>
          <w:sz w:val="2"/>
        </w:rPr>
        <w:t xml:space="preserve"> </w:t>
      </w:r>
    </w:p>
    <w:p>
      <w:pPr>
        <w:pStyle w:val="Heading2"/>
      </w:pPr>
      <w:r>
        <w:t>1.1 Contributions</w:t>
      </w:r>
    </w:p>
    <w:p>
      <w:pPr>
        <w:keepNext w:val="0"/>
        <w:keepLines/>
        <w:spacing w:before="0" w:line="320" w:lineRule="auto"/>
      </w:pPr>
      <w:r>
        <w:rPr>
          <w:rFonts w:ascii="Calibri" w:hAnsi="Calibri" w:eastAsia="Calibri"/>
          <w:b w:val="0"/>
          <w:i w:val="0"/>
          <w:color w:val="15212B"/>
        </w:rPr>
        <w:t>The tranche contributes a self-contained measurement semantics; a finite-data non-identification theorem; a prediction-separation theorem; a worked refutation; a proved link between the scalar phase-speed formula and a homogeneous dispersion relation; uniqueness and monotonicity consequences; finite-precision bounds on α; a constructive discriminating precision; an exact ME-056 deviation identity; bounds on ΩU; and one theorem joining refutability to non-verifiability. Eighteen declarations were present in the supplied physical-test development. Three connective results were added during formalization: two ME-002/005 dispersion lemmas and the ME-056 deviation lemma, producing twenty-one checked declarations in this tranche.</w:t>
      </w:r>
    </w:p>
    <w:p>
      <w:pPr>
        <w:pStyle w:val="Heading2"/>
      </w:pPr>
      <w:r>
        <w:t>1.2 Relation to the Zoo</w:t>
      </w:r>
    </w:p>
    <w:p>
      <w:pPr>
        <w:keepNext w:val="0"/>
        <w:keepLines/>
        <w:spacing w:before="0" w:line="320" w:lineRule="auto"/>
      </w:pPr>
      <w:r>
        <w:rPr>
          <w:rFonts w:ascii="Calibri" w:hAnsi="Calibri" w:eastAsia="Calibri"/>
          <w:b w:val="0"/>
          <w:i w:val="0"/>
          <w:color w:val="15212B"/>
        </w:rPr>
        <w:t>The project’s adversarial Zoo remains a theorem-discovery and review discipline. For continuity with earlier tranches, the review route is TORTOISE → WEAVER → SALMON → CROCODILE → HEDGEHOG → DRAGON → TURTLE. In this paper the route motivates repeated checks of assumptions, equation traceability, counterexamples, and scope. The Zoo is not part of the trusted formal base: proof assurance comes from Lean’s kernel checking the elaborated declarations against their stated hypotheses.</w:t>
      </w:r>
    </w:p>
    <w:p>
      <w:pPr>
        <w:pStyle w:val="Heading1"/>
      </w:pPr>
      <w:r>
        <w:t>2. Formalization policy and provenance</w:t>
      </w:r>
    </w:p>
    <w:p>
      <w:pPr>
        <w:pStyle w:val="Heading2"/>
      </w:pPr>
      <w:r>
        <w:t>2.1 What “proved” means</w:t>
      </w:r>
    </w:p>
    <w:p>
      <w:pPr>
        <w:keepNext w:val="0"/>
        <w:keepLines/>
        <w:spacing w:before="0" w:line="320" w:lineRule="auto"/>
      </w:pPr>
      <w:r>
        <w:rPr>
          <w:rFonts w:ascii="Calibri" w:hAnsi="Calibri" w:eastAsia="Calibri"/>
          <w:b w:val="0"/>
          <w:i w:val="0"/>
          <w:color w:val="15212B"/>
        </w:rPr>
        <w:t>A result is called proved here only when Lean accepts its declaration without sorry, admit, or a project-added axiom. The claim thereby certified is exactly the proposition displayed in the source, under exactly the hypotheses shown there and the definitions imported from Lean and Mathlib. Kernel checking does not certify that a source equation was transcribed with the intended physical units, that a bridge assumption follows from a deeper field equation, or that any measured system satisfies the hypotheses.</w:t>
      </w:r>
    </w:p>
    <w:p>
      <w:r>
        <w:br w:type="page"/>
      </w:r>
    </w:p>
    <w:p>
      <w:pPr>
        <w:spacing w:before="0" w:after="0" w:line="20" w:lineRule="exact"/>
      </w:pPr>
      <w:r>
        <w:rPr>
          <w:rFonts w:ascii="Calibri" w:hAnsi="Calibri" w:eastAsia="Calibri"/>
          <w:color w:val="FFFFFF"/>
          <w:sz w:val="2"/>
        </w:rPr>
        <w:t xml:space="preserve"> </w:t>
      </w:r>
    </w:p>
    <w:p>
      <w:pPr>
        <w:pStyle w:val="Heading2"/>
      </w:pPr>
      <w:r>
        <w:t>2.2 Trusted and untrusted layers</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700"/>
        <w:gridCol w:w="6660"/>
      </w:tblGrid>
      <w:tr>
        <w:trPr>
          <w:cantSplit/>
          <w:tblHeader w:val="true"/>
        </w:trPr>
        <w:tc>
          <w:tcPr>
            <w:tcW w:type="dxa" w:w="2700"/>
            <w:tcMar>
              <w:top w:w="80" w:type="dxa"/>
              <w:start w:w="120" w:type="dxa"/>
              <w:bottom w:w="80" w:type="dxa"/>
              <w:end w:w="120" w:type="dxa"/>
            </w:tcMar>
            <w:vAlign w:val="center"/>
            <w:shd w:fill="F4F6F9"/>
          </w:tcPr>
          <w:p>
            <w:pPr>
              <w:spacing w:after="0"/>
            </w:pPr>
            <w:r>
              <w:rPr>
                <w:rFonts w:ascii="Calibri" w:hAnsi="Calibri" w:eastAsia="Calibri"/>
                <w:b/>
                <w:color w:val="203748"/>
                <w:sz w:val="19"/>
              </w:rPr>
              <w:t>Layer</w:t>
            </w:r>
          </w:p>
        </w:tc>
        <w:tc>
          <w:tcPr>
            <w:tcW w:type="dxa" w:w="6660"/>
            <w:tcMar>
              <w:top w:w="80" w:type="dxa"/>
              <w:start w:w="120" w:type="dxa"/>
              <w:bottom w:w="80" w:type="dxa"/>
              <w:end w:w="120" w:type="dxa"/>
            </w:tcMar>
            <w:vAlign w:val="center"/>
            <w:shd w:fill="F4F6F9"/>
          </w:tcPr>
          <w:p>
            <w:pPr>
              <w:spacing w:after="0"/>
            </w:pPr>
            <w:r>
              <w:rPr>
                <w:rFonts w:ascii="Calibri" w:hAnsi="Calibri" w:eastAsia="Calibri"/>
                <w:b/>
                <w:color w:val="203748"/>
                <w:sz w:val="19"/>
              </w:rPr>
              <w:t>Status in this paper</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Kernel-checked layer</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Definitions, theorem statements, elaborated proof terms, and Mathlib dependencies accepted by Lean</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Modeling layer</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Choice of observable, reading, precision, phase-speed law, homogeneous relation, and Friedmann extension</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Interpretive layer</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Association of the formal definitions with ME-002/005, ME-056, experiments, and cosmological observables</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Empirical layer</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Calibration, noise model, systematic errors, data selection, and actual measurements; not included</w:t>
            </w:r>
          </w:p>
        </w:tc>
      </w:tr>
    </w:tbl>
    <w:p>
      <w:pPr>
        <w:spacing w:after="0"/>
      </w:pPr>
    </w:p>
    <w:p>
      <w:pPr>
        <w:pStyle w:val="Heading2"/>
      </w:pPr>
      <w:r>
        <w:t>2.3 Equation crosswalk</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1300"/>
        <w:gridCol w:w="3300"/>
        <w:gridCol w:w="4760"/>
      </w:tblGrid>
      <w:tr>
        <w:trPr>
          <w:cantSplit/>
          <w:tblHeader w:val="true"/>
        </w:trPr>
        <w:tc>
          <w:tcPr>
            <w:tcW w:type="dxa" w:w="1300"/>
            <w:tcMar>
              <w:top w:w="80" w:type="dxa"/>
              <w:start w:w="120" w:type="dxa"/>
              <w:bottom w:w="80" w:type="dxa"/>
              <w:end w:w="120" w:type="dxa"/>
            </w:tcMar>
            <w:vAlign w:val="center"/>
            <w:shd w:fill="F4F6F9"/>
          </w:tcPr>
          <w:p>
            <w:pPr>
              <w:spacing w:after="0"/>
            </w:pPr>
            <w:r>
              <w:rPr>
                <w:rFonts w:ascii="Calibri" w:hAnsi="Calibri" w:eastAsia="Calibri"/>
                <w:b/>
                <w:color w:val="203748"/>
                <w:sz w:val="18"/>
              </w:rPr>
              <w:t>Sector</w:t>
            </w:r>
          </w:p>
        </w:tc>
        <w:tc>
          <w:tcPr>
            <w:tcW w:type="dxa" w:w="3300"/>
            <w:tcMar>
              <w:top w:w="80" w:type="dxa"/>
              <w:start w:w="120" w:type="dxa"/>
              <w:bottom w:w="80" w:type="dxa"/>
              <w:end w:w="120" w:type="dxa"/>
            </w:tcMar>
            <w:vAlign w:val="center"/>
            <w:shd w:fill="F4F6F9"/>
          </w:tcPr>
          <w:p>
            <w:pPr>
              <w:spacing w:after="0"/>
            </w:pPr>
            <w:r>
              <w:rPr>
                <w:rFonts w:ascii="Calibri" w:hAnsi="Calibri" w:eastAsia="Calibri"/>
                <w:b/>
                <w:color w:val="203748"/>
                <w:sz w:val="18"/>
              </w:rPr>
              <w:t>Formal object</w:t>
            </w:r>
          </w:p>
        </w:tc>
        <w:tc>
          <w:tcPr>
            <w:tcW w:type="dxa" w:w="4760"/>
            <w:tcMar>
              <w:top w:w="80" w:type="dxa"/>
              <w:start w:w="120" w:type="dxa"/>
              <w:bottom w:w="80" w:type="dxa"/>
              <w:end w:w="120" w:type="dxa"/>
            </w:tcMar>
            <w:vAlign w:val="center"/>
            <w:shd w:fill="F4F6F9"/>
          </w:tcPr>
          <w:p>
            <w:pPr>
              <w:spacing w:after="0"/>
            </w:pPr>
            <w:r>
              <w:rPr>
                <w:rFonts w:ascii="Calibri" w:hAnsi="Calibri" w:eastAsia="Calibri"/>
                <w:b/>
                <w:color w:val="203748"/>
                <w:sz w:val="18"/>
              </w:rPr>
              <w:t>Role</w:t>
            </w:r>
          </w:p>
        </w:tc>
      </w:tr>
      <w:tr>
        <w:trPr>
          <w:cantSplit/>
        </w:trPr>
        <w:tc>
          <w:tcPr>
            <w:tcW w:type="dxa" w:w="1300"/>
            <w:tcMar>
              <w:top w:w="80" w:type="dxa"/>
              <w:start w:w="120" w:type="dxa"/>
              <w:bottom w:w="80" w:type="dxa"/>
              <w:end w:w="120" w:type="dxa"/>
            </w:tcMar>
            <w:vAlign w:val="center"/>
          </w:tcPr>
          <w:p>
            <w:pPr>
              <w:spacing w:after="0" w:line="252" w:lineRule="auto"/>
            </w:pPr>
            <w:r>
              <w:rPr>
                <w:rFonts w:ascii="Calibri" w:hAnsi="Calibri" w:eastAsia="Calibri"/>
                <w:b/>
                <w:color w:val="15212B"/>
                <w:sz w:val="18"/>
              </w:rPr>
              <w:t>General</w:t>
            </w:r>
          </w:p>
        </w:tc>
        <w:tc>
          <w:tcPr>
            <w:tcW w:type="dxa" w:w="3300"/>
            <w:tcMar>
              <w:top w:w="80" w:type="dxa"/>
              <w:start w:w="120" w:type="dxa"/>
              <w:bottom w:w="80" w:type="dxa"/>
              <w:end w:w="120" w:type="dxa"/>
            </w:tcMar>
            <w:vAlign w:val="center"/>
          </w:tcPr>
          <w:p>
            <w:pPr>
              <w:spacing w:after="0" w:line="252" w:lineRule="auto"/>
            </w:pPr>
            <w:r>
              <w:rPr>
                <w:rFonts w:ascii="Consolas" w:hAnsi="Consolas" w:eastAsia="Consolas"/>
                <w:b w:val="0"/>
                <w:color w:val="15212B"/>
                <w:sz w:val="17"/>
              </w:rPr>
              <w:t>Measurement; DataCompatible</w:t>
            </w:r>
          </w:p>
        </w:tc>
        <w:tc>
          <w:tcPr>
            <w:tcW w:type="dxa" w:w="4760"/>
            <w:tcMar>
              <w:top w:w="80" w:type="dxa"/>
              <w:start w:w="120" w:type="dxa"/>
              <w:bottom w:w="80" w:type="dxa"/>
              <w:end w:w="120" w:type="dxa"/>
            </w:tcMar>
            <w:vAlign w:val="center"/>
          </w:tcPr>
          <w:p>
            <w:pPr>
              <w:spacing w:after="0" w:line="252" w:lineRule="auto"/>
            </w:pPr>
            <w:r>
              <w:rPr>
                <w:rFonts w:ascii="Calibri" w:hAnsi="Calibri" w:eastAsia="Calibri"/>
                <w:b w:val="0"/>
                <w:color w:val="15212B"/>
                <w:sz w:val="18"/>
              </w:rPr>
              <w:t>Finite-precision semantics independent of any one EFMW equation</w:t>
            </w:r>
          </w:p>
        </w:tc>
      </w:tr>
      <w:tr>
        <w:trPr>
          <w:cantSplit/>
        </w:trPr>
        <w:tc>
          <w:tcPr>
            <w:tcW w:type="dxa" w:w="1300"/>
            <w:tcMar>
              <w:top w:w="80" w:type="dxa"/>
              <w:start w:w="120" w:type="dxa"/>
              <w:bottom w:w="80" w:type="dxa"/>
              <w:end w:w="120" w:type="dxa"/>
            </w:tcMar>
            <w:vAlign w:val="center"/>
          </w:tcPr>
          <w:p>
            <w:pPr>
              <w:spacing w:after="0" w:line="252" w:lineRule="auto"/>
            </w:pPr>
            <w:r>
              <w:rPr>
                <w:rFonts w:ascii="Calibri" w:hAnsi="Calibri" w:eastAsia="Calibri"/>
                <w:b/>
                <w:color w:val="15212B"/>
                <w:sz w:val="18"/>
              </w:rPr>
              <w:t>ME-002/005</w:t>
            </w:r>
          </w:p>
        </w:tc>
        <w:tc>
          <w:tcPr>
            <w:tcW w:type="dxa" w:w="3300"/>
            <w:tcMar>
              <w:top w:w="80" w:type="dxa"/>
              <w:start w:w="120" w:type="dxa"/>
              <w:bottom w:w="80" w:type="dxa"/>
              <w:end w:w="120" w:type="dxa"/>
            </w:tcMar>
            <w:vAlign w:val="center"/>
          </w:tcPr>
          <w:p>
            <w:pPr>
              <w:spacing w:after="0" w:line="252" w:lineRule="auto"/>
            </w:pPr>
            <w:r>
              <w:rPr>
                <w:rFonts w:ascii="Consolas" w:hAnsi="Consolas" w:eastAsia="Consolas"/>
                <w:b w:val="0"/>
                <w:color w:val="15212B"/>
                <w:sz w:val="17"/>
              </w:rPr>
              <w:t>phaseSpeed; homogeneousPhaseRelation</w:t>
            </w:r>
          </w:p>
        </w:tc>
        <w:tc>
          <w:tcPr>
            <w:tcW w:type="dxa" w:w="4760"/>
            <w:tcMar>
              <w:top w:w="80" w:type="dxa"/>
              <w:start w:w="120" w:type="dxa"/>
              <w:bottom w:w="80" w:type="dxa"/>
              <w:end w:w="120" w:type="dxa"/>
            </w:tcMar>
            <w:vAlign w:val="center"/>
          </w:tcPr>
          <w:p>
            <w:pPr>
              <w:spacing w:after="0" w:line="252" w:lineRule="auto"/>
            </w:pPr>
            <w:r>
              <w:rPr>
                <w:rFonts w:ascii="Calibri" w:hAnsi="Calibri" w:eastAsia="Calibri"/>
                <w:b w:val="0"/>
                <w:color w:val="15212B"/>
                <w:sz w:val="18"/>
              </w:rPr>
              <w:t>Conditional scalar-wave plane-mode consequences</w:t>
            </w:r>
          </w:p>
        </w:tc>
      </w:tr>
      <w:tr>
        <w:trPr>
          <w:cantSplit/>
        </w:trPr>
        <w:tc>
          <w:tcPr>
            <w:tcW w:type="dxa" w:w="1300"/>
            <w:tcMar>
              <w:top w:w="80" w:type="dxa"/>
              <w:start w:w="120" w:type="dxa"/>
              <w:bottom w:w="80" w:type="dxa"/>
              <w:end w:w="120" w:type="dxa"/>
            </w:tcMar>
            <w:vAlign w:val="center"/>
          </w:tcPr>
          <w:p>
            <w:pPr>
              <w:spacing w:after="0" w:line="252" w:lineRule="auto"/>
            </w:pPr>
            <w:r>
              <w:rPr>
                <w:rFonts w:ascii="Calibri" w:hAnsi="Calibri" w:eastAsia="Calibri"/>
                <w:b/>
                <w:color w:val="15212B"/>
                <w:sz w:val="18"/>
              </w:rPr>
              <w:t>ME-056</w:t>
            </w:r>
          </w:p>
        </w:tc>
        <w:tc>
          <w:tcPr>
            <w:tcW w:type="dxa" w:w="3300"/>
            <w:tcMar>
              <w:top w:w="80" w:type="dxa"/>
              <w:start w:w="120" w:type="dxa"/>
              <w:bottom w:w="80" w:type="dxa"/>
              <w:end w:w="120" w:type="dxa"/>
            </w:tcMar>
            <w:vAlign w:val="center"/>
          </w:tcPr>
          <w:p>
            <w:pPr>
              <w:spacing w:after="0" w:line="252" w:lineRule="auto"/>
            </w:pPr>
            <w:r>
              <w:rPr>
                <w:rFonts w:ascii="Consolas" w:hAnsi="Consolas" w:eastAsia="Consolas"/>
                <w:b w:val="0"/>
                <w:color w:val="15212B"/>
                <w:sz w:val="17"/>
              </w:rPr>
              <w:t>friedmannLCDM; friedmannEFMW</w:t>
            </w:r>
          </w:p>
        </w:tc>
        <w:tc>
          <w:tcPr>
            <w:tcW w:type="dxa" w:w="4760"/>
            <w:tcMar>
              <w:top w:w="80" w:type="dxa"/>
              <w:start w:w="120" w:type="dxa"/>
              <w:bottom w:w="80" w:type="dxa"/>
              <w:end w:w="120" w:type="dxa"/>
            </w:tcMar>
            <w:vAlign w:val="center"/>
          </w:tcPr>
          <w:p>
            <w:pPr>
              <w:spacing w:after="0" w:line="252" w:lineRule="auto"/>
            </w:pPr>
            <w:r>
              <w:rPr>
                <w:rFonts w:ascii="Calibri" w:hAnsi="Calibri" w:eastAsia="Calibri"/>
                <w:b w:val="0"/>
                <w:color w:val="15212B"/>
                <w:sz w:val="18"/>
              </w:rPr>
              <w:t>Conditional algebra of the residual-rotation extension</w:t>
            </w:r>
          </w:p>
        </w:tc>
      </w:tr>
    </w:tbl>
    <w:p>
      <w:pPr>
        <w:spacing w:after="0"/>
      </w:pPr>
    </w:p>
    <w:p>
      <w:pPr>
        <w:keepNext w:val="0"/>
        <w:keepLines/>
        <w:spacing w:before="0" w:line="320" w:lineRule="auto"/>
      </w:pPr>
      <w:r>
        <w:rPr>
          <w:rFonts w:ascii="Calibri" w:hAnsi="Calibri" w:eastAsia="Calibri"/>
          <w:b w:val="0"/>
          <w:i w:val="0"/>
          <w:color w:val="15212B"/>
        </w:rPr>
        <w:t>The ME-002/005 bridge is intentionally narrow: the formal relation represents the homogeneous plane-wave dispersion equation after a source-free plane-wave substitution. The formalization does not prove existence, stability, or completeness of PDE solutions. Likewise, the ME-056 definition is not derived in this tranche from a rotating spacetime metric; its consequences begin after the extension is assumed.</w:t>
      </w:r>
    </w:p>
    <w:p>
      <w:pPr>
        <w:pStyle w:val="Heading2"/>
      </w:pPr>
      <w:r>
        <w:t>2.4 Notation</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700"/>
        <w:gridCol w:w="6660"/>
      </w:tblGrid>
      <w:tr>
        <w:trPr>
          <w:cantSplit/>
          <w:tblHeader w:val="true"/>
        </w:trPr>
        <w:tc>
          <w:tcPr>
            <w:tcW w:type="dxa" w:w="2700"/>
            <w:tcMar>
              <w:top w:w="80" w:type="dxa"/>
              <w:start w:w="120" w:type="dxa"/>
              <w:bottom w:w="80" w:type="dxa"/>
              <w:end w:w="120" w:type="dxa"/>
            </w:tcMar>
            <w:vAlign w:val="center"/>
            <w:shd w:fill="F4F6F9"/>
          </w:tcPr>
          <w:p>
            <w:pPr>
              <w:spacing w:after="0"/>
            </w:pPr>
            <w:r>
              <w:rPr>
                <w:rFonts w:ascii="Calibri" w:hAnsi="Calibri" w:eastAsia="Calibri"/>
                <w:b/>
                <w:color w:val="203748"/>
                <w:sz w:val="19"/>
              </w:rPr>
              <w:t>Symbol</w:t>
            </w:r>
          </w:p>
        </w:tc>
        <w:tc>
          <w:tcPr>
            <w:tcW w:type="dxa" w:w="6660"/>
            <w:tcMar>
              <w:top w:w="80" w:type="dxa"/>
              <w:start w:w="120" w:type="dxa"/>
              <w:bottom w:w="80" w:type="dxa"/>
              <w:end w:w="120" w:type="dxa"/>
            </w:tcMar>
            <w:vAlign w:val="center"/>
            <w:shd w:fill="F4F6F9"/>
          </w:tcPr>
          <w:p>
            <w:pPr>
              <w:spacing w:after="0"/>
            </w:pPr>
            <w:r>
              <w:rPr>
                <w:rFonts w:ascii="Calibri" w:hAnsi="Calibri" w:eastAsia="Calibri"/>
                <w:b/>
                <w:color w:val="203748"/>
                <w:sz w:val="19"/>
              </w:rPr>
              <w:t>Meaning</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θ, θ₀, θ₁, θ₂</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Real-valued model parameters</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Oₘ, rₘ, pₘ</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Observable, reading, and precision of a measurement m</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D</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Finite list of measurements</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c, α, v</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Positive baseline speed, scalar coupling, and modeled phase speed</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ε, p, r</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Positive coupling threshold, measurement precision, and reading</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G, ρ, Λ, k, a, ΩU</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Friedmann parameters, scale factor, and residual-rotation parameter</w:t>
            </w:r>
          </w:p>
        </w:tc>
      </w:tr>
    </w:tbl>
    <w:p>
      <w:pPr>
        <w:spacing w:after="0"/>
      </w:pPr>
    </w:p>
    <w:p>
      <w:pPr>
        <w:pStyle w:val="Heading1"/>
      </w:pPr>
      <w:r>
        <w:t>3. Finite-precision measurement semantics</w:t>
      </w:r>
    </w:p>
    <w:p>
      <w:pPr>
        <w:keepNext w:val="0"/>
        <w:keepLines/>
        <w:spacing w:before="0" w:line="320" w:lineRule="auto"/>
      </w:pPr>
      <w:r>
        <w:rPr>
          <w:rFonts w:ascii="Calibri" w:hAnsi="Calibri" w:eastAsia="Calibri"/>
          <w:b w:val="0"/>
          <w:i w:val="0"/>
          <w:color w:val="15212B"/>
        </w:rPr>
        <w:t>A measurement is a triple m = (Oₘ, rₘ, pₘ), where Oₘ : ℝ → ℝ is the predicted observable, rₘ is a reading, and pₘ is a precision. The formal structure does not globally postulate pₘ ≥ 0; instead, compatibility propositions are meaningful as stated, and nonnegativity follows where needed from satisfiable inequalities. In physical use, pₘ is ordinarily interpreted as a nonnegative absolute error tolerance.</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rPr>
          <w:cantSplit/>
        </w:trPr>
        <w:tc>
          <w:tcPr>
            <w:tcW w:type="dxa" w:w="9360"/>
            <w:tcMar>
              <w:top w:w="80" w:type="dxa"/>
              <w:start w:w="120" w:type="dxa"/>
              <w:bottom w:w="80" w:type="dxa"/>
              <w:end w:w="120" w:type="dxa"/>
            </w:tcMar>
            <w:vAlign w:val="center"/>
            <w:shd w:fill="F8FAFC"/>
          </w:tcPr>
          <w:p>
            <w:pPr>
              <w:spacing w:before="60" w:after="60" w:line="264" w:lineRule="auto"/>
              <w:jc w:val="center"/>
            </w:pPr>
            <w:r>
              <w:rPr>
                <w:rFonts w:ascii="Cambria Math" w:hAnsi="Cambria Math" w:eastAsia="Cambria Math"/>
                <w:color w:val="203748"/>
                <w:sz w:val="21"/>
              </w:rPr>
              <w:t>Compatible(m, θ)  :⇔  |Oₘ(θ) − rₘ| ≤ pₘ</w:t>
            </w:r>
          </w:p>
        </w:tc>
      </w:tr>
    </w:tbl>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rPr>
          <w:cantSplit/>
        </w:trPr>
        <w:tc>
          <w:tcPr>
            <w:tcW w:type="dxa" w:w="9360"/>
            <w:tcMar>
              <w:top w:w="80" w:type="dxa"/>
              <w:start w:w="120" w:type="dxa"/>
              <w:bottom w:w="80" w:type="dxa"/>
              <w:end w:w="120" w:type="dxa"/>
            </w:tcMar>
            <w:vAlign w:val="center"/>
            <w:shd w:fill="F8FAFC"/>
          </w:tcPr>
          <w:p>
            <w:pPr>
              <w:spacing w:before="60" w:after="60" w:line="264" w:lineRule="auto"/>
              <w:jc w:val="center"/>
            </w:pPr>
            <w:r>
              <w:rPr>
                <w:rFonts w:ascii="Cambria Math" w:hAnsi="Cambria Math" w:eastAsia="Cambria Math"/>
                <w:color w:val="203748"/>
                <w:sz w:val="21"/>
              </w:rPr>
              <w:t>StrictlyCompatible(m, θ)  :⇔  |Oₘ(θ) − rₘ| &lt; pₘ</w:t>
            </w:r>
          </w:p>
        </w:tc>
      </w:tr>
    </w:tbl>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rPr>
          <w:cantSplit/>
        </w:trPr>
        <w:tc>
          <w:tcPr>
            <w:tcW w:type="dxa" w:w="9360"/>
            <w:tcMar>
              <w:top w:w="80" w:type="dxa"/>
              <w:start w:w="120" w:type="dxa"/>
              <w:bottom w:w="80" w:type="dxa"/>
              <w:end w:w="120" w:type="dxa"/>
            </w:tcMar>
            <w:vAlign w:val="center"/>
            <w:shd w:fill="F8FAFC"/>
          </w:tcPr>
          <w:p>
            <w:pPr>
              <w:spacing w:before="60" w:after="60" w:line="264" w:lineRule="auto"/>
              <w:jc w:val="center"/>
            </w:pPr>
            <w:r>
              <w:rPr>
                <w:rFonts w:ascii="Cambria Math" w:hAnsi="Cambria Math" w:eastAsia="Cambria Math"/>
                <w:color w:val="203748"/>
                <w:sz w:val="21"/>
              </w:rPr>
              <w:t>DataCompatible(D, θ) :⇔ ∀ m ∈ D, Compatible(m, θ)</w:t>
            </w:r>
          </w:p>
        </w:tc>
      </w:tr>
    </w:tbl>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rPr>
          <w:cantSplit/>
        </w:trPr>
        <w:tc>
          <w:tcPr>
            <w:tcW w:type="dxa" w:w="9360"/>
            <w:tcMar>
              <w:top w:w="80" w:type="dxa"/>
              <w:start w:w="120" w:type="dxa"/>
              <w:bottom w:w="80" w:type="dxa"/>
              <w:end w:w="120" w:type="dxa"/>
            </w:tcMar>
            <w:vAlign w:val="center"/>
            <w:shd w:fill="F8FAFC"/>
          </w:tcPr>
          <w:p>
            <w:pPr>
              <w:spacing w:before="60" w:after="60" w:line="264" w:lineRule="auto"/>
              <w:jc w:val="center"/>
            </w:pPr>
            <w:r>
              <w:rPr>
                <w:rFonts w:ascii="Cambria Math" w:hAnsi="Cambria Math" w:eastAsia="Cambria Math"/>
                <w:color w:val="203748"/>
                <w:sz w:val="21"/>
              </w:rPr>
              <w:t>DataStrictlyCompatible(D, θ) :⇔ ∀ m ∈ D, StrictlyCompatible(m, θ)</w:t>
            </w:r>
          </w:p>
        </w:tc>
      </w:tr>
    </w:tbl>
    <w:p>
      <w:pPr>
        <w:pStyle w:val="Heading3"/>
        <w:keepNext/>
        <w:pageBreakBefore w:val="0"/>
      </w:pPr>
      <w:r>
        <w:rPr>
          <w:rFonts w:ascii="Calibri" w:hAnsi="Calibri" w:eastAsia="Calibri"/>
          <w:b/>
          <w:color w:val="1F4D78"/>
          <w:sz w:val="24"/>
        </w:rPr>
        <w:t>Theorem IV.1 — Measurement.Compatible_of_strict</w:t>
      </w:r>
    </w:p>
    <w:tbl>
      <w:tblPr>
        <w:tblW w:type="dxa" w:w="9360"/>
        <w:jc w:val="left"/>
        <w:tblLayout w:type="fixed"/>
        <w:tblLook w:firstColumn="1" w:firstRow="1" w:lastColumn="0" w:lastRow="0" w:noHBand="0" w:noVBand="1" w:val="04A0"/>
        <w:tblInd w:w="120" w:type="dxa"/>
        <w:tblBorders>
          <w:top w:val="single" w:sz="7" w:space="0" w:color="B8C4D2"/>
          <w:left w:val="single" w:sz="7" w:space="0" w:color="B8C4D2"/>
          <w:bottom w:val="single" w:sz="7" w:space="0" w:color="B8C4D2"/>
          <w:right w:val="single" w:sz="7" w:space="0" w:color="B8C4D2"/>
          <w:insideH w:val="single" w:sz="7" w:space="0" w:color="B8C4D2"/>
          <w:insideV w:val="single" w:sz="7" w:space="0" w:color="B8C4D2"/>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pPr>
            <w:r>
              <w:rPr>
                <w:rFonts w:ascii="Calibri" w:hAnsi="Calibri" w:eastAsia="Calibri"/>
                <w:b/>
                <w:color w:val="203748"/>
                <w:sz w:val="19"/>
              </w:rPr>
              <w:t xml:space="preserve">FORMAL STATEMENT. </w:t>
            </w:r>
            <w:r>
              <w:rPr>
                <w:rFonts w:ascii="Cambria Math" w:hAnsi="Cambria Math" w:eastAsia="Cambria Math"/>
                <w:color w:val="15212B"/>
                <w:sz w:val="20"/>
              </w:rPr>
              <w:t>For every measurement m and parameter θ, StrictlyCompatible(m, θ) implies Compatible(m, θ).</w:t>
            </w:r>
          </w:p>
        </w:tc>
      </w:tr>
    </w:tbl>
    <w:p>
      <w:pPr>
        <w:keepLines/>
        <w:spacing w:before="100" w:after="120" w:line="300" w:lineRule="auto"/>
        <w:jc w:val="both"/>
      </w:pPr>
      <w:r>
        <w:rPr>
          <w:rFonts w:ascii="Calibri" w:hAnsi="Calibri" w:eastAsia="Calibri"/>
          <w:b/>
          <w:color w:val="203748"/>
          <w:sz w:val="22"/>
        </w:rPr>
        <w:t xml:space="preserve">Proof. </w:t>
      </w:r>
      <w:r>
        <w:rPr>
          <w:rFonts w:ascii="Calibri" w:hAnsi="Calibri" w:eastAsia="Calibri"/>
          <w:color w:val="15212B"/>
          <w:sz w:val="22"/>
        </w:rPr>
        <w:t>The conclusion is the non-strict inequality obtained directly from the strict compatibility inequality by lt-to-le weakening.</w:t>
      </w:r>
    </w:p>
    <w:p>
      <w:pPr>
        <w:keepLines/>
        <w:spacing w:before="0" w:after="120" w:line="300" w:lineRule="auto"/>
        <w:jc w:val="both"/>
      </w:pPr>
      <w:r>
        <w:rPr>
          <w:rFonts w:ascii="Calibri" w:hAnsi="Calibri" w:eastAsia="Calibri"/>
          <w:b/>
          <w:color w:val="203748"/>
          <w:sz w:val="22"/>
        </w:rPr>
        <w:t xml:space="preserve">Interpretation. </w:t>
      </w:r>
      <w:r>
        <w:rPr>
          <w:rFonts w:ascii="Calibri" w:hAnsi="Calibri" w:eastAsia="Calibri"/>
          <w:color w:val="15212B"/>
          <w:sz w:val="22"/>
        </w:rPr>
        <w:t>This small coercion lemma lets local strict results feed the ordinary compatibility predicate used in the final existence theorem.</w:t>
      </w:r>
    </w:p>
    <w:p>
      <w:r>
        <w:br w:type="page"/>
      </w:r>
    </w:p>
    <w:p>
      <w:pPr>
        <w:spacing w:before="0" w:after="0" w:line="20" w:lineRule="exact"/>
      </w:pPr>
      <w:r>
        <w:rPr>
          <w:rFonts w:ascii="Calibri" w:hAnsi="Calibri" w:eastAsia="Calibri"/>
          <w:color w:val="FFFFFF"/>
          <w:sz w:val="2"/>
        </w:rPr>
        <w:t xml:space="preserve"> </w:t>
      </w:r>
    </w:p>
    <w:p>
      <w:pPr>
        <w:pStyle w:val="Heading3"/>
        <w:keepNext/>
        <w:pageBreakBefore w:val="0"/>
      </w:pPr>
      <w:r>
        <w:rPr>
          <w:rFonts w:ascii="Calibri" w:hAnsi="Calibri" w:eastAsia="Calibri"/>
          <w:b/>
          <w:color w:val="1F4D78"/>
          <w:sz w:val="24"/>
        </w:rPr>
        <w:t>Theorem IV.2 — eventually_strictlyCompatible</w:t>
      </w:r>
    </w:p>
    <w:tbl>
      <w:tblPr>
        <w:tblW w:type="dxa" w:w="9360"/>
        <w:jc w:val="left"/>
        <w:tblLayout w:type="fixed"/>
        <w:tblLook w:firstColumn="1" w:firstRow="1" w:lastColumn="0" w:lastRow="0" w:noHBand="0" w:noVBand="1" w:val="04A0"/>
        <w:tblInd w:w="120" w:type="dxa"/>
        <w:tblBorders>
          <w:top w:val="single" w:sz="7" w:space="0" w:color="B8C4D2"/>
          <w:left w:val="single" w:sz="7" w:space="0" w:color="B8C4D2"/>
          <w:bottom w:val="single" w:sz="7" w:space="0" w:color="B8C4D2"/>
          <w:right w:val="single" w:sz="7" w:space="0" w:color="B8C4D2"/>
          <w:insideH w:val="single" w:sz="7" w:space="0" w:color="B8C4D2"/>
          <w:insideV w:val="single" w:sz="7" w:space="0" w:color="B8C4D2"/>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pPr>
            <w:r>
              <w:rPr>
                <w:rFonts w:ascii="Calibri" w:hAnsi="Calibri" w:eastAsia="Calibri"/>
                <w:b/>
                <w:color w:val="203748"/>
                <w:sz w:val="19"/>
              </w:rPr>
              <w:t xml:space="preserve">FORMAL STATEMENT. </w:t>
            </w:r>
            <w:r>
              <w:rPr>
                <w:rFonts w:ascii="Cambria Math" w:hAnsi="Cambria Math" w:eastAsia="Cambria Math"/>
                <w:color w:val="15212B"/>
                <w:sz w:val="20"/>
              </w:rPr>
              <w:t>Let D be a finite list of measurements and θ₀ ∈ ℝ. If every Oₘ with m ∈ D is continuous at θ₀ and every m ∈ D is strictly compatible with θ₀, then DataStrictlyCompatible(D, θ) holds for all θ in some neighborhood of θ₀.</w:t>
            </w:r>
          </w:p>
        </w:tc>
      </w:tr>
    </w:tbl>
    <w:p>
      <w:pPr>
        <w:keepLines/>
        <w:spacing w:before="100" w:after="120" w:line="300" w:lineRule="auto"/>
        <w:jc w:val="both"/>
      </w:pPr>
      <w:r>
        <w:rPr>
          <w:rFonts w:ascii="Calibri" w:hAnsi="Calibri" w:eastAsia="Calibri"/>
          <w:b/>
          <w:color w:val="203748"/>
          <w:sz w:val="22"/>
        </w:rPr>
        <w:t xml:space="preserve">Proof. </w:t>
      </w:r>
      <w:r>
        <w:rPr>
          <w:rFonts w:ascii="Calibri" w:hAnsi="Calibri" w:eastAsia="Calibri"/>
          <w:color w:val="15212B"/>
          <w:sz w:val="22"/>
        </w:rPr>
        <w:t>Proceed by induction on D. The empty list is immediate. For a head measurement m, continuity of Oₘ implies continuity of θ ↦ |Oₘ(θ) − rₘ|. Because its value at θ₀ is strictly below pₘ, the strict inequality holds eventually near θ₀. Intersect this neighborhood with the neighborhood supplied by the induction hypothesis for the tail.</w:t>
      </w:r>
    </w:p>
    <w:p>
      <w:pPr>
        <w:keepLines/>
        <w:spacing w:before="0" w:after="120" w:line="300" w:lineRule="auto"/>
        <w:jc w:val="both"/>
      </w:pPr>
      <w:r>
        <w:rPr>
          <w:rFonts w:ascii="Calibri" w:hAnsi="Calibri" w:eastAsia="Calibri"/>
          <w:b/>
          <w:color w:val="203748"/>
          <w:sz w:val="22"/>
        </w:rPr>
        <w:t xml:space="preserve">Interpretation. </w:t>
      </w:r>
      <w:r>
        <w:rPr>
          <w:rFonts w:ascii="Calibri" w:hAnsi="Calibri" w:eastAsia="Calibri"/>
          <w:color w:val="15212B"/>
          <w:sz w:val="22"/>
        </w:rPr>
        <w:t>A finite conjunction of open strict inequalities remains true locally.</w:t>
      </w:r>
    </w:p>
    <w:p>
      <w:pPr>
        <w:keepLines/>
        <w:spacing w:before="0" w:after="160" w:line="300" w:lineRule="auto"/>
        <w:jc w:val="both"/>
      </w:pPr>
      <w:r>
        <w:rPr>
          <w:rFonts w:ascii="Calibri" w:hAnsi="Calibri" w:eastAsia="Calibri"/>
          <w:b/>
          <w:color w:val="8A2734"/>
          <w:sz w:val="22"/>
        </w:rPr>
        <w:t xml:space="preserve">Boundary. </w:t>
      </w:r>
      <w:r>
        <w:rPr>
          <w:rFonts w:ascii="Calibri" w:hAnsi="Calibri" w:eastAsia="Calibri"/>
          <w:color w:val="15212B"/>
          <w:sz w:val="22"/>
        </w:rPr>
        <w:t>Finiteness and strict compatibility are essential to this proof. Equality at an error-bar boundary is not covered.</w:t>
      </w:r>
    </w:p>
    <w:p>
      <w:pPr>
        <w:pStyle w:val="Heading3"/>
        <w:keepNext/>
        <w:pageBreakBefore w:val="0"/>
      </w:pPr>
      <w:r>
        <w:rPr>
          <w:rFonts w:ascii="Calibri" w:hAnsi="Calibri" w:eastAsia="Calibri"/>
          <w:b/>
          <w:color w:val="1F4D78"/>
          <w:sz w:val="24"/>
        </w:rPr>
        <w:t>Theorem IV.3 — no_exact_parameter_verification</w:t>
      </w:r>
    </w:p>
    <w:tbl>
      <w:tblPr>
        <w:tblW w:type="dxa" w:w="9360"/>
        <w:jc w:val="left"/>
        <w:tblLayout w:type="fixed"/>
        <w:tblLook w:firstColumn="1" w:firstRow="1" w:lastColumn="0" w:lastRow="0" w:noHBand="0" w:noVBand="1" w:val="04A0"/>
        <w:tblInd w:w="120" w:type="dxa"/>
        <w:tblBorders>
          <w:top w:val="single" w:sz="7" w:space="0" w:color="B8C4D2"/>
          <w:left w:val="single" w:sz="7" w:space="0" w:color="B8C4D2"/>
          <w:bottom w:val="single" w:sz="7" w:space="0" w:color="B8C4D2"/>
          <w:right w:val="single" w:sz="7" w:space="0" w:color="B8C4D2"/>
          <w:insideH w:val="single" w:sz="7" w:space="0" w:color="B8C4D2"/>
          <w:insideV w:val="single" w:sz="7" w:space="0" w:color="B8C4D2"/>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pPr>
            <w:r>
              <w:rPr>
                <w:rFonts w:ascii="Calibri" w:hAnsi="Calibri" w:eastAsia="Calibri"/>
                <w:b/>
                <w:color w:val="203748"/>
                <w:sz w:val="19"/>
              </w:rPr>
              <w:t xml:space="preserve">FORMAL STATEMENT. </w:t>
            </w:r>
            <w:r>
              <w:rPr>
                <w:rFonts w:ascii="Cambria Math" w:hAnsi="Cambria Math" w:eastAsia="Cambria Math"/>
                <w:color w:val="15212B"/>
                <w:sz w:val="20"/>
              </w:rPr>
              <w:t>Under the hypotheses of Theorem IV.2, there exists θ ∈ ℝ with θ ≠ θ₀ such that DataCompatible(D, θ).</w:t>
            </w:r>
          </w:p>
        </w:tc>
      </w:tr>
    </w:tbl>
    <w:p>
      <w:pPr>
        <w:keepLines/>
        <w:spacing w:before="100" w:after="120" w:line="300" w:lineRule="auto"/>
        <w:jc w:val="both"/>
      </w:pPr>
      <w:r>
        <w:rPr>
          <w:rFonts w:ascii="Calibri" w:hAnsi="Calibri" w:eastAsia="Calibri"/>
          <w:b/>
          <w:color w:val="203748"/>
          <w:sz w:val="22"/>
        </w:rPr>
        <w:t xml:space="preserve">Proof. </w:t>
      </w:r>
      <w:r>
        <w:rPr>
          <w:rFonts w:ascii="Calibri" w:hAnsi="Calibri" w:eastAsia="Calibri"/>
          <w:color w:val="15212B"/>
          <w:sz w:val="22"/>
        </w:rPr>
        <w:t>Restrict the eventual neighborhood from Theorem IV.2 to the punctured neighborhood 𝓝[≠] θ₀. Choose a point θ in that punctured neighborhood. It differs from θ₀ and remains strictly compatible with every measurement; Theorem IV.1 weakens each strict inequality to compatibility.</w:t>
      </w:r>
    </w:p>
    <w:p>
      <w:pPr>
        <w:keepLines/>
        <w:spacing w:before="0" w:after="120" w:line="300" w:lineRule="auto"/>
        <w:jc w:val="both"/>
      </w:pPr>
      <w:r>
        <w:rPr>
          <w:rFonts w:ascii="Calibri" w:hAnsi="Calibri" w:eastAsia="Calibri"/>
          <w:b/>
          <w:color w:val="203748"/>
          <w:sz w:val="22"/>
        </w:rPr>
        <w:t xml:space="preserve">Interpretation. </w:t>
      </w:r>
      <w:r>
        <w:rPr>
          <w:rFonts w:ascii="Calibri" w:hAnsi="Calibri" w:eastAsia="Calibri"/>
          <w:color w:val="15212B"/>
          <w:sz w:val="22"/>
        </w:rPr>
        <w:t>Finite, continuous, strictly interior data cannot deductively isolate one exact point in a real parameter space.</w:t>
      </w:r>
    </w:p>
    <w:p>
      <w:pPr>
        <w:keepLines/>
        <w:spacing w:before="0" w:after="160" w:line="300" w:lineRule="auto"/>
        <w:jc w:val="both"/>
      </w:pPr>
      <w:r>
        <w:rPr>
          <w:rFonts w:ascii="Calibri" w:hAnsi="Calibri" w:eastAsia="Calibri"/>
          <w:b/>
          <w:color w:val="8A2734"/>
          <w:sz w:val="22"/>
        </w:rPr>
        <w:t xml:space="preserve">Boundary. </w:t>
      </w:r>
      <w:r>
        <w:rPr>
          <w:rFonts w:ascii="Calibri" w:hAnsi="Calibri" w:eastAsia="Calibri"/>
          <w:color w:val="15212B"/>
          <w:sz w:val="22"/>
        </w:rPr>
        <w:t>This is a local non-identification theorem. It does not cover discrete parameter spaces, discontinuous observables, infinitely many constraints, exact zero-width measurements, or a boundary-compatible θ₀.</w:t>
      </w:r>
    </w:p>
    <w:p>
      <w:r>
        <w:br w:type="page"/>
      </w:r>
    </w:p>
    <w:p>
      <w:pPr>
        <w:spacing w:before="0" w:after="0" w:line="20" w:lineRule="exact"/>
      </w:pPr>
      <w:r>
        <w:rPr>
          <w:rFonts w:ascii="Calibri" w:hAnsi="Calibri" w:eastAsia="Calibri"/>
          <w:color w:val="FFFFFF"/>
          <w:sz w:val="2"/>
        </w:rPr>
        <w:t xml:space="preserve"> </w:t>
      </w:r>
    </w:p>
    <w:p>
      <w:pPr>
        <w:pStyle w:val="Heading3"/>
        <w:keepNext/>
        <w:pageBreakBefore w:val="0"/>
      </w:pPr>
      <w:r>
        <w:rPr>
          <w:rFonts w:ascii="Calibri" w:hAnsi="Calibri" w:eastAsia="Calibri"/>
          <w:b/>
          <w:color w:val="1F4D78"/>
          <w:sz w:val="24"/>
        </w:rPr>
        <w:t>Theorem IV.4 — measurement_discriminates</w:t>
      </w:r>
    </w:p>
    <w:tbl>
      <w:tblPr>
        <w:tblW w:type="dxa" w:w="9360"/>
        <w:jc w:val="left"/>
        <w:tblLayout w:type="fixed"/>
        <w:tblLook w:firstColumn="1" w:firstRow="1" w:lastColumn="0" w:lastRow="0" w:noHBand="0" w:noVBand="1" w:val="04A0"/>
        <w:tblInd w:w="120" w:type="dxa"/>
        <w:tblBorders>
          <w:top w:val="single" w:sz="7" w:space="0" w:color="B8C4D2"/>
          <w:left w:val="single" w:sz="7" w:space="0" w:color="B8C4D2"/>
          <w:bottom w:val="single" w:sz="7" w:space="0" w:color="B8C4D2"/>
          <w:right w:val="single" w:sz="7" w:space="0" w:color="B8C4D2"/>
          <w:insideH w:val="single" w:sz="7" w:space="0" w:color="B8C4D2"/>
          <w:insideV w:val="single" w:sz="7" w:space="0" w:color="B8C4D2"/>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pPr>
            <w:r>
              <w:rPr>
                <w:rFonts w:ascii="Calibri" w:hAnsi="Calibri" w:eastAsia="Calibri"/>
                <w:b/>
                <w:color w:val="203748"/>
                <w:sz w:val="19"/>
              </w:rPr>
              <w:t xml:space="preserve">FORMAL STATEMENT. </w:t>
            </w:r>
            <w:r>
              <w:rPr>
                <w:rFonts w:ascii="Cambria Math" w:hAnsi="Cambria Math" w:eastAsia="Cambria Math"/>
                <w:color w:val="15212B"/>
                <w:sz w:val="20"/>
              </w:rPr>
              <w:t>For a measurement m and parameters θ₁, θ₂, if 2pₘ &lt; |Oₘ(θ₁) − Oₘ(θ₂)|, then m cannot be compatible with both θ₁ and θ₂.</w:t>
            </w:r>
          </w:p>
        </w:tc>
      </w:tr>
    </w:tbl>
    <w:p>
      <w:pPr>
        <w:keepLines/>
        <w:spacing w:before="100" w:after="120" w:line="300" w:lineRule="auto"/>
        <w:jc w:val="both"/>
      </w:pPr>
      <w:r>
        <w:rPr>
          <w:rFonts w:ascii="Calibri" w:hAnsi="Calibri" w:eastAsia="Calibri"/>
          <w:b/>
          <w:color w:val="203748"/>
          <w:sz w:val="22"/>
        </w:rPr>
        <w:t xml:space="preserve">Proof. </w:t>
      </w:r>
      <w:r>
        <w:rPr>
          <w:rFonts w:ascii="Calibri" w:hAnsi="Calibri" w:eastAsia="Calibri"/>
          <w:color w:val="15212B"/>
          <w:sz w:val="22"/>
        </w:rPr>
        <w:t>Assume both compatibilities. By the triangle inequality, |Oₘ(θ₁) − Oₘ(θ₂)| ≤ |Oₘ(θ₁) − rₘ| + |Oₘ(θ₂) − rₘ| ≤ 2pₘ, contradicting the strict separation hypothesis.</w:t>
      </w:r>
    </w:p>
    <w:p>
      <w:pPr>
        <w:keepLines/>
        <w:spacing w:before="0" w:after="120" w:line="300" w:lineRule="auto"/>
        <w:jc w:val="both"/>
      </w:pPr>
      <w:r>
        <w:rPr>
          <w:rFonts w:ascii="Calibri" w:hAnsi="Calibri" w:eastAsia="Calibri"/>
          <w:b/>
          <w:color w:val="203748"/>
          <w:sz w:val="22"/>
        </w:rPr>
        <w:t xml:space="preserve">Interpretation. </w:t>
      </w:r>
      <w:r>
        <w:rPr>
          <w:rFonts w:ascii="Calibri" w:hAnsi="Calibri" w:eastAsia="Calibri"/>
          <w:color w:val="15212B"/>
          <w:sz w:val="22"/>
        </w:rPr>
        <w:t>A single sufficiently precise reading can separate two point predictions independently of the realized reading.</w:t>
      </w:r>
    </w:p>
    <w:p>
      <w:pPr>
        <w:pStyle w:val="Heading3"/>
        <w:keepNext/>
        <w:pageBreakBefore w:val="0"/>
      </w:pPr>
      <w:r>
        <w:rPr>
          <w:rFonts w:ascii="Calibri" w:hAnsi="Calibri" w:eastAsia="Calibri"/>
          <w:b/>
          <w:color w:val="1F4D78"/>
          <w:sz w:val="24"/>
        </w:rPr>
        <w:t>Theorem IV.5 — falsification_by_measurement</w:t>
      </w:r>
    </w:p>
    <w:tbl>
      <w:tblPr>
        <w:tblW w:type="dxa" w:w="9360"/>
        <w:jc w:val="left"/>
        <w:tblLayout w:type="fixed"/>
        <w:tblLook w:firstColumn="1" w:firstRow="1" w:lastColumn="0" w:lastRow="0" w:noHBand="0" w:noVBand="1" w:val="04A0"/>
        <w:tblInd w:w="120" w:type="dxa"/>
        <w:tblBorders>
          <w:top w:val="single" w:sz="7" w:space="0" w:color="B8C4D2"/>
          <w:left w:val="single" w:sz="7" w:space="0" w:color="B8C4D2"/>
          <w:bottom w:val="single" w:sz="7" w:space="0" w:color="B8C4D2"/>
          <w:right w:val="single" w:sz="7" w:space="0" w:color="B8C4D2"/>
          <w:insideH w:val="single" w:sz="7" w:space="0" w:color="B8C4D2"/>
          <w:insideV w:val="single" w:sz="7" w:space="0" w:color="B8C4D2"/>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pPr>
            <w:r>
              <w:rPr>
                <w:rFonts w:ascii="Calibri" w:hAnsi="Calibri" w:eastAsia="Calibri"/>
                <w:b/>
                <w:color w:val="203748"/>
                <w:sz w:val="19"/>
              </w:rPr>
              <w:t xml:space="preserve">FORMAL STATEMENT. </w:t>
            </w:r>
            <w:r>
              <w:rPr>
                <w:rFonts w:ascii="Cambria Math" w:hAnsi="Cambria Math" w:eastAsia="Cambria Math"/>
                <w:color w:val="15212B"/>
                <w:sz w:val="20"/>
              </w:rPr>
              <w:t>For m = (θ ↦ θ, 0, 1), the parameter θ = 5 is not compatible with m.</w:t>
            </w:r>
          </w:p>
        </w:tc>
      </w:tr>
    </w:tbl>
    <w:p>
      <w:pPr>
        <w:keepLines/>
        <w:spacing w:before="100" w:after="120" w:line="300" w:lineRule="auto"/>
        <w:jc w:val="both"/>
      </w:pPr>
      <w:r>
        <w:rPr>
          <w:rFonts w:ascii="Calibri" w:hAnsi="Calibri" w:eastAsia="Calibri"/>
          <w:b/>
          <w:color w:val="203748"/>
          <w:sz w:val="22"/>
        </w:rPr>
        <w:t xml:space="preserve">Proof. </w:t>
      </w:r>
      <w:r>
        <w:rPr>
          <w:rFonts w:ascii="Calibri" w:hAnsi="Calibri" w:eastAsia="Calibri"/>
          <w:color w:val="15212B"/>
          <w:sz w:val="22"/>
        </w:rPr>
        <w:t>Compatibility reduces to |5 − 0| ≤ 1, i.e. 5 ≤ 1, which normalization refutes.</w:t>
      </w:r>
    </w:p>
    <w:p>
      <w:pPr>
        <w:keepLines/>
        <w:spacing w:before="0" w:after="120" w:line="300" w:lineRule="auto"/>
        <w:jc w:val="both"/>
      </w:pPr>
      <w:r>
        <w:rPr>
          <w:rFonts w:ascii="Calibri" w:hAnsi="Calibri" w:eastAsia="Calibri"/>
          <w:b/>
          <w:color w:val="203748"/>
          <w:sz w:val="22"/>
        </w:rPr>
        <w:t xml:space="preserve">Interpretation. </w:t>
      </w:r>
      <w:r>
        <w:rPr>
          <w:rFonts w:ascii="Calibri" w:hAnsi="Calibri" w:eastAsia="Calibri"/>
          <w:color w:val="15212B"/>
          <w:sz w:val="22"/>
        </w:rPr>
        <w:t>The concrete counterexample prevents the non-verification theorem from being misread as a claim that finite measurements never falsify anything.</w:t>
      </w:r>
    </w:p>
    <w:p>
      <w:pPr>
        <w:pStyle w:val="Heading1"/>
      </w:pPr>
      <w:r>
        <w:t>4. ME-002/005 scalar-wave consequences</w:t>
      </w:r>
    </w:p>
    <w:p>
      <w:pPr>
        <w:keepNext w:val="0"/>
        <w:keepLines/>
        <w:spacing w:before="0" w:line="320" w:lineRule="auto"/>
      </w:pPr>
      <w:r>
        <w:rPr>
          <w:rFonts w:ascii="Calibri" w:hAnsi="Calibri" w:eastAsia="Calibri"/>
          <w:b w:val="0"/>
          <w:i w:val="0"/>
          <w:color w:val="15212B"/>
        </w:rPr>
        <w:t>The scalar sector assumes the phase-speed function below. It is noncomputable in Lean because it uses the real square root, but this has no effect on the propositions. The admissible regime α² &lt; 1 makes 1−α² positive, hence the square-root denominator nonzero and positive.</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rPr>
          <w:cantSplit/>
        </w:trPr>
        <w:tc>
          <w:tcPr>
            <w:tcW w:type="dxa" w:w="9360"/>
            <w:tcMar>
              <w:top w:w="80" w:type="dxa"/>
              <w:start w:w="120" w:type="dxa"/>
              <w:bottom w:w="80" w:type="dxa"/>
              <w:end w:w="120" w:type="dxa"/>
            </w:tcMar>
            <w:vAlign w:val="center"/>
            <w:shd w:fill="F8FAFC"/>
          </w:tcPr>
          <w:p>
            <w:pPr>
              <w:spacing w:before="60" w:after="60" w:line="264" w:lineRule="auto"/>
              <w:jc w:val="center"/>
            </w:pPr>
            <w:r>
              <w:rPr>
                <w:rFonts w:ascii="Cambria Math" w:hAnsi="Cambria Math" w:eastAsia="Cambria Math"/>
                <w:color w:val="203748"/>
                <w:sz w:val="21"/>
              </w:rPr>
              <w:t>phaseSpeed(c, α) = c / √(1 − α²)</w:t>
            </w:r>
          </w:p>
        </w:tc>
      </w:tr>
    </w:tbl>
    <w:p>
      <w:r>
        <w:br w:type="page"/>
      </w:r>
    </w:p>
    <w:p>
      <w:pPr>
        <w:spacing w:before="0" w:after="0" w:line="20" w:lineRule="exact"/>
      </w:pPr>
      <w:r>
        <w:rPr>
          <w:rFonts w:ascii="Calibri" w:hAnsi="Calibri" w:eastAsia="Calibri"/>
          <w:color w:val="FFFFFF"/>
          <w:sz w:val="2"/>
        </w:rPr>
        <w:t xml:space="preserve"> </w:t>
      </w:r>
    </w:p>
    <w:p>
      <w:pPr>
        <w:pStyle w:val="Heading3"/>
        <w:keepNext/>
        <w:pageBreakBefore w:val="0"/>
      </w:pPr>
      <w:r>
        <w:rPr>
          <w:rFonts w:ascii="Calibri" w:hAnsi="Calibri" w:eastAsia="Calibri"/>
          <w:b/>
          <w:color w:val="1F4D78"/>
          <w:sz w:val="24"/>
        </w:rPr>
        <w:t>Theorem IV.6 — phaseSpeed_zero</w:t>
      </w:r>
    </w:p>
    <w:tbl>
      <w:tblPr>
        <w:tblW w:type="dxa" w:w="9360"/>
        <w:jc w:val="left"/>
        <w:tblLayout w:type="fixed"/>
        <w:tblLook w:firstColumn="1" w:firstRow="1" w:lastColumn="0" w:lastRow="0" w:noHBand="0" w:noVBand="1" w:val="04A0"/>
        <w:tblInd w:w="120" w:type="dxa"/>
        <w:tblBorders>
          <w:top w:val="single" w:sz="7" w:space="0" w:color="B8C4D2"/>
          <w:left w:val="single" w:sz="7" w:space="0" w:color="B8C4D2"/>
          <w:bottom w:val="single" w:sz="7" w:space="0" w:color="B8C4D2"/>
          <w:right w:val="single" w:sz="7" w:space="0" w:color="B8C4D2"/>
          <w:insideH w:val="single" w:sz="7" w:space="0" w:color="B8C4D2"/>
          <w:insideV w:val="single" w:sz="7" w:space="0" w:color="B8C4D2"/>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pPr>
            <w:r>
              <w:rPr>
                <w:rFonts w:ascii="Calibri" w:hAnsi="Calibri" w:eastAsia="Calibri"/>
                <w:b/>
                <w:color w:val="203748"/>
                <w:sz w:val="19"/>
              </w:rPr>
              <w:t xml:space="preserve">FORMAL STATEMENT. </w:t>
            </w:r>
            <w:r>
              <w:rPr>
                <w:rFonts w:ascii="Cambria Math" w:hAnsi="Cambria Math" w:eastAsia="Cambria Math"/>
                <w:color w:val="15212B"/>
                <w:sz w:val="20"/>
              </w:rPr>
              <w:t>For every real c, phaseSpeed(c, 0) = c.</w:t>
            </w:r>
          </w:p>
        </w:tc>
      </w:tr>
    </w:tbl>
    <w:p>
      <w:pPr>
        <w:keepLines/>
        <w:spacing w:before="100" w:after="120" w:line="300" w:lineRule="auto"/>
        <w:jc w:val="both"/>
      </w:pPr>
      <w:r>
        <w:rPr>
          <w:rFonts w:ascii="Calibri" w:hAnsi="Calibri" w:eastAsia="Calibri"/>
          <w:b/>
          <w:color w:val="203748"/>
          <w:sz w:val="22"/>
        </w:rPr>
        <w:t xml:space="preserve">Proof. </w:t>
      </w:r>
      <w:r>
        <w:rPr>
          <w:rFonts w:ascii="Calibri" w:hAnsi="Calibri" w:eastAsia="Calibri"/>
          <w:color w:val="15212B"/>
          <w:sz w:val="22"/>
        </w:rPr>
        <w:t>Substitute α = 0. The denominator becomes √1 = 1, so c/1 = c.</w:t>
      </w:r>
    </w:p>
    <w:p>
      <w:pPr>
        <w:keepLines/>
        <w:spacing w:before="0" w:after="120" w:line="300" w:lineRule="auto"/>
        <w:jc w:val="both"/>
      </w:pPr>
      <w:r>
        <w:rPr>
          <w:rFonts w:ascii="Calibri" w:hAnsi="Calibri" w:eastAsia="Calibri"/>
          <w:b/>
          <w:color w:val="203748"/>
          <w:sz w:val="22"/>
        </w:rPr>
        <w:t xml:space="preserve">Interpretation. </w:t>
      </w:r>
      <w:r>
        <w:rPr>
          <w:rFonts w:ascii="Calibri" w:hAnsi="Calibri" w:eastAsia="Calibri"/>
          <w:color w:val="15212B"/>
          <w:sz w:val="22"/>
        </w:rPr>
        <w:t>The zero-coupling model recovers the baseline speed exactly.</w:t>
      </w:r>
    </w:p>
    <w:p>
      <w:pPr>
        <w:pStyle w:val="Heading3"/>
        <w:keepNext/>
        <w:pageBreakBefore w:val="0"/>
      </w:pPr>
      <w:r>
        <w:rPr>
          <w:rFonts w:ascii="Calibri" w:hAnsi="Calibri" w:eastAsia="Calibri"/>
          <w:b/>
          <w:color w:val="1F4D78"/>
          <w:sz w:val="24"/>
        </w:rPr>
        <w:t>Theorem IV.7 — sqrt_one_sub_sq_pos</w:t>
      </w:r>
    </w:p>
    <w:tbl>
      <w:tblPr>
        <w:tblW w:type="dxa" w:w="9360"/>
        <w:jc w:val="left"/>
        <w:tblLayout w:type="fixed"/>
        <w:tblLook w:firstColumn="1" w:firstRow="1" w:lastColumn="0" w:lastRow="0" w:noHBand="0" w:noVBand="1" w:val="04A0"/>
        <w:tblInd w:w="120" w:type="dxa"/>
        <w:tblBorders>
          <w:top w:val="single" w:sz="7" w:space="0" w:color="B8C4D2"/>
          <w:left w:val="single" w:sz="7" w:space="0" w:color="B8C4D2"/>
          <w:bottom w:val="single" w:sz="7" w:space="0" w:color="B8C4D2"/>
          <w:right w:val="single" w:sz="7" w:space="0" w:color="B8C4D2"/>
          <w:insideH w:val="single" w:sz="7" w:space="0" w:color="B8C4D2"/>
          <w:insideV w:val="single" w:sz="7" w:space="0" w:color="B8C4D2"/>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pPr>
            <w:r>
              <w:rPr>
                <w:rFonts w:ascii="Calibri" w:hAnsi="Calibri" w:eastAsia="Calibri"/>
                <w:b/>
                <w:color w:val="203748"/>
                <w:sz w:val="19"/>
              </w:rPr>
              <w:t xml:space="preserve">FORMAL STATEMENT. </w:t>
            </w:r>
            <w:r>
              <w:rPr>
                <w:rFonts w:ascii="Cambria Math" w:hAnsi="Cambria Math" w:eastAsia="Cambria Math"/>
                <w:color w:val="15212B"/>
                <w:sz w:val="20"/>
              </w:rPr>
              <w:t>If α² &lt; 1, then 0 &lt; √(1 − α²).</w:t>
            </w:r>
          </w:p>
        </w:tc>
      </w:tr>
    </w:tbl>
    <w:p>
      <w:pPr>
        <w:keepLines/>
        <w:spacing w:before="100" w:after="120" w:line="300" w:lineRule="auto"/>
        <w:jc w:val="both"/>
      </w:pPr>
      <w:r>
        <w:rPr>
          <w:rFonts w:ascii="Calibri" w:hAnsi="Calibri" w:eastAsia="Calibri"/>
          <w:b/>
          <w:color w:val="203748"/>
          <w:sz w:val="22"/>
        </w:rPr>
        <w:t xml:space="preserve">Proof. </w:t>
      </w:r>
      <w:r>
        <w:rPr>
          <w:rFonts w:ascii="Calibri" w:hAnsi="Calibri" w:eastAsia="Calibri"/>
          <w:color w:val="15212B"/>
          <w:sz w:val="22"/>
        </w:rPr>
        <w:t>The hypothesis gives 0 &lt; 1−α². Positivity of the real square root yields the result.</w:t>
      </w:r>
    </w:p>
    <w:p>
      <w:pPr>
        <w:keepLines/>
        <w:spacing w:before="0" w:after="120" w:line="300" w:lineRule="auto"/>
        <w:jc w:val="both"/>
      </w:pPr>
      <w:r>
        <w:rPr>
          <w:rFonts w:ascii="Calibri" w:hAnsi="Calibri" w:eastAsia="Calibri"/>
          <w:b/>
          <w:color w:val="203748"/>
          <w:sz w:val="22"/>
        </w:rPr>
        <w:t xml:space="preserve">Interpretation. </w:t>
      </w:r>
      <w:r>
        <w:rPr>
          <w:rFonts w:ascii="Calibri" w:hAnsi="Calibri" w:eastAsia="Calibri"/>
          <w:color w:val="15212B"/>
          <w:sz w:val="22"/>
        </w:rPr>
        <w:t>This lemma licenses order-preserving multiplication and division by the phase-speed denominator.</w:t>
      </w:r>
    </w:p>
    <w:p>
      <w:r>
        <w:br w:type="page"/>
      </w:r>
    </w:p>
    <w:p>
      <w:pPr>
        <w:spacing w:before="0" w:after="0" w:line="20" w:lineRule="exact"/>
      </w:pPr>
      <w:r>
        <w:rPr>
          <w:rFonts w:ascii="Calibri" w:hAnsi="Calibri" w:eastAsia="Calibri"/>
          <w:color w:val="FFFFFF"/>
          <w:sz w:val="2"/>
        </w:rPr>
        <w:t xml:space="preserve"> </w:t>
      </w:r>
    </w:p>
    <w:p>
      <w:pPr>
        <w:pStyle w:val="Heading3"/>
        <w:keepNext/>
        <w:pageBreakBefore w:val="0"/>
      </w:pPr>
      <w:r>
        <w:rPr>
          <w:rFonts w:ascii="Calibri" w:hAnsi="Calibri" w:eastAsia="Calibri"/>
          <w:b/>
          <w:color w:val="1F4D78"/>
          <w:sz w:val="24"/>
        </w:rPr>
        <w:t>Theorem IV.8 — sqrt_one_sub_sq_le_one</w:t>
      </w:r>
    </w:p>
    <w:tbl>
      <w:tblPr>
        <w:tblW w:type="dxa" w:w="9360"/>
        <w:jc w:val="left"/>
        <w:tblLayout w:type="fixed"/>
        <w:tblLook w:firstColumn="1" w:firstRow="1" w:lastColumn="0" w:lastRow="0" w:noHBand="0" w:noVBand="1" w:val="04A0"/>
        <w:tblInd w:w="120" w:type="dxa"/>
        <w:tblBorders>
          <w:top w:val="single" w:sz="7" w:space="0" w:color="B8C4D2"/>
          <w:left w:val="single" w:sz="7" w:space="0" w:color="B8C4D2"/>
          <w:bottom w:val="single" w:sz="7" w:space="0" w:color="B8C4D2"/>
          <w:right w:val="single" w:sz="7" w:space="0" w:color="B8C4D2"/>
          <w:insideH w:val="single" w:sz="7" w:space="0" w:color="B8C4D2"/>
          <w:insideV w:val="single" w:sz="7" w:space="0" w:color="B8C4D2"/>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pPr>
            <w:r>
              <w:rPr>
                <w:rFonts w:ascii="Calibri" w:hAnsi="Calibri" w:eastAsia="Calibri"/>
                <w:b/>
                <w:color w:val="203748"/>
                <w:sz w:val="19"/>
              </w:rPr>
              <w:t xml:space="preserve">FORMAL STATEMENT. </w:t>
            </w:r>
            <w:r>
              <w:rPr>
                <w:rFonts w:ascii="Cambria Math" w:hAnsi="Cambria Math" w:eastAsia="Cambria Math"/>
                <w:color w:val="15212B"/>
                <w:sz w:val="20"/>
              </w:rPr>
              <w:t>For every α ∈ ℝ, √(1 − α²) ≤ 1.</w:t>
            </w:r>
          </w:p>
        </w:tc>
      </w:tr>
    </w:tbl>
    <w:p>
      <w:pPr>
        <w:keepLines/>
        <w:spacing w:before="100" w:after="120" w:line="300" w:lineRule="auto"/>
        <w:jc w:val="both"/>
      </w:pPr>
      <w:r>
        <w:rPr>
          <w:rFonts w:ascii="Calibri" w:hAnsi="Calibri" w:eastAsia="Calibri"/>
          <w:b/>
          <w:color w:val="203748"/>
          <w:sz w:val="22"/>
        </w:rPr>
        <w:t xml:space="preserve">Proof. </w:t>
      </w:r>
      <w:r>
        <w:rPr>
          <w:rFonts w:ascii="Calibri" w:hAnsi="Calibri" w:eastAsia="Calibri"/>
          <w:color w:val="15212B"/>
          <w:sz w:val="22"/>
        </w:rPr>
        <w:t>Since α² ≥ 0, one has 1−α² ≤ 1. Monotonicity of the real square root gives √(1−α²) ≤ √1 = 1.</w:t>
      </w:r>
    </w:p>
    <w:p>
      <w:pPr>
        <w:keepLines/>
        <w:spacing w:before="0" w:after="120" w:line="300" w:lineRule="auto"/>
        <w:jc w:val="both"/>
      </w:pPr>
      <w:r>
        <w:rPr>
          <w:rFonts w:ascii="Calibri" w:hAnsi="Calibri" w:eastAsia="Calibri"/>
          <w:b/>
          <w:color w:val="203748"/>
          <w:sz w:val="22"/>
        </w:rPr>
        <w:t xml:space="preserve">Interpretation. </w:t>
      </w:r>
      <w:r>
        <w:rPr>
          <w:rFonts w:ascii="Calibri" w:hAnsi="Calibri" w:eastAsia="Calibri"/>
          <w:color w:val="15212B"/>
          <w:sz w:val="22"/>
        </w:rPr>
        <w:t>Together with positivity in the admissible regime, this controls the reciprocal denominator.</w:t>
      </w:r>
    </w:p>
    <w:p>
      <w:pPr>
        <w:keepLines/>
        <w:spacing w:before="0" w:after="160" w:line="300" w:lineRule="auto"/>
        <w:jc w:val="both"/>
      </w:pPr>
      <w:r>
        <w:rPr>
          <w:rFonts w:ascii="Calibri" w:hAnsi="Calibri" w:eastAsia="Calibri"/>
          <w:b/>
          <w:color w:val="8A2734"/>
          <w:sz w:val="22"/>
        </w:rPr>
        <w:t xml:space="preserve">Boundary. </w:t>
      </w:r>
      <w:r>
        <w:rPr>
          <w:rFonts w:ascii="Calibri" w:hAnsi="Calibri" w:eastAsia="Calibri"/>
          <w:color w:val="15212B"/>
          <w:sz w:val="22"/>
        </w:rPr>
        <w:t>Outside α² &lt; 1, Lean’s total real square root remains defined, but the physical phase-speed interpretation and division arguments used later are not asserted.</w:t>
      </w:r>
    </w:p>
    <w:p>
      <w:pPr>
        <w:pStyle w:val="Heading2"/>
      </w:pPr>
      <w:r>
        <w:t>4.1 Connection to the homogeneous dispersion relation</w:t>
      </w:r>
    </w:p>
    <w:p>
      <w:pPr>
        <w:keepNext w:val="0"/>
        <w:keepLines/>
        <w:spacing w:before="0" w:line="320" w:lineRule="auto"/>
      </w:pPr>
      <w:r>
        <w:rPr>
          <w:rFonts w:ascii="Calibri" w:hAnsi="Calibri" w:eastAsia="Calibri"/>
          <w:b w:val="0"/>
          <w:i w:val="0"/>
          <w:color w:val="15212B"/>
        </w:rPr>
        <w:t>The formal bridge to ME-002/005 is represented by a homogeneous algebraic relation, not by a full PDE derivation inside this tranche.</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rPr>
          <w:cantSplit/>
        </w:trPr>
        <w:tc>
          <w:tcPr>
            <w:tcW w:type="dxa" w:w="9360"/>
            <w:tcMar>
              <w:top w:w="80" w:type="dxa"/>
              <w:start w:w="120" w:type="dxa"/>
              <w:bottom w:w="80" w:type="dxa"/>
              <w:end w:w="120" w:type="dxa"/>
            </w:tcMar>
            <w:vAlign w:val="center"/>
            <w:shd w:fill="F8FAFC"/>
          </w:tcPr>
          <w:p>
            <w:pPr>
              <w:spacing w:before="60" w:after="60" w:line="264" w:lineRule="auto"/>
              <w:jc w:val="center"/>
            </w:pPr>
            <w:r>
              <w:rPr>
                <w:rFonts w:ascii="Cambria Math" w:hAnsi="Cambria Math" w:eastAsia="Cambria Math"/>
                <w:color w:val="203748"/>
                <w:sz w:val="21"/>
              </w:rPr>
              <w:t>homogeneousPhaseRelation(c, α, v) :⇔ (1 − α²)v² = c²</w:t>
            </w:r>
          </w:p>
        </w:tc>
      </w:tr>
    </w:tbl>
    <w:p>
      <w:pPr>
        <w:pStyle w:val="Heading3"/>
        <w:keepNext/>
        <w:pageBreakBefore w:val="0"/>
      </w:pPr>
      <w:r>
        <w:rPr>
          <w:rFonts w:ascii="Calibri" w:hAnsi="Calibri" w:eastAsia="Calibri"/>
          <w:b/>
          <w:color w:val="1F4D78"/>
          <w:sz w:val="24"/>
        </w:rPr>
        <w:t>Theorem IV.9 — ME002_005.phaseSpeed_satisfies_homogeneous_relation</w:t>
      </w:r>
    </w:p>
    <w:tbl>
      <w:tblPr>
        <w:tblW w:type="dxa" w:w="9360"/>
        <w:jc w:val="left"/>
        <w:tblLayout w:type="fixed"/>
        <w:tblLook w:firstColumn="1" w:firstRow="1" w:lastColumn="0" w:lastRow="0" w:noHBand="0" w:noVBand="1" w:val="04A0"/>
        <w:tblInd w:w="120" w:type="dxa"/>
        <w:tblBorders>
          <w:top w:val="single" w:sz="7" w:space="0" w:color="B8C4D2"/>
          <w:left w:val="single" w:sz="7" w:space="0" w:color="B8C4D2"/>
          <w:bottom w:val="single" w:sz="7" w:space="0" w:color="B8C4D2"/>
          <w:right w:val="single" w:sz="7" w:space="0" w:color="B8C4D2"/>
          <w:insideH w:val="single" w:sz="7" w:space="0" w:color="B8C4D2"/>
          <w:insideV w:val="single" w:sz="7" w:space="0" w:color="B8C4D2"/>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pPr>
            <w:r>
              <w:rPr>
                <w:rFonts w:ascii="Calibri" w:hAnsi="Calibri" w:eastAsia="Calibri"/>
                <w:b/>
                <w:color w:val="203748"/>
                <w:sz w:val="19"/>
              </w:rPr>
              <w:t xml:space="preserve">FORMAL STATEMENT. </w:t>
            </w:r>
            <w:r>
              <w:rPr>
                <w:rFonts w:ascii="Cambria Math" w:hAnsi="Cambria Math" w:eastAsia="Cambria Math"/>
                <w:color w:val="15212B"/>
                <w:sz w:val="20"/>
              </w:rPr>
              <w:t>If α² &lt; 1, then homogeneousPhaseRelation(c, α, phaseSpeed(c, α)).</w:t>
            </w:r>
          </w:p>
        </w:tc>
      </w:tr>
    </w:tbl>
    <w:p>
      <w:pPr>
        <w:keepLines/>
        <w:spacing w:before="100" w:after="120" w:line="300" w:lineRule="auto"/>
        <w:jc w:val="both"/>
      </w:pPr>
      <w:r>
        <w:rPr>
          <w:rFonts w:ascii="Calibri" w:hAnsi="Calibri" w:eastAsia="Calibri"/>
          <w:b/>
          <w:color w:val="203748"/>
          <w:sz w:val="22"/>
        </w:rPr>
        <w:t xml:space="preserve">Proof. </w:t>
      </w:r>
      <w:r>
        <w:rPr>
          <w:rFonts w:ascii="Calibri" w:hAnsi="Calibri" w:eastAsia="Calibri"/>
          <w:color w:val="15212B"/>
          <w:sz w:val="22"/>
        </w:rPr>
        <w:t>Let s = √(1−α²). Theorem IV.7 gives s ≠ 0 and the square-root identity gives s² = 1−α². Substitution of v = c/s reduces the relation to (1−α²)c²/s² = c², which follows by field simplification and s² = 1−α².</w:t>
      </w:r>
    </w:p>
    <w:p>
      <w:pPr>
        <w:keepLines/>
        <w:spacing w:before="0" w:after="120" w:line="300" w:lineRule="auto"/>
        <w:jc w:val="both"/>
      </w:pPr>
      <w:r>
        <w:rPr>
          <w:rFonts w:ascii="Calibri" w:hAnsi="Calibri" w:eastAsia="Calibri"/>
          <w:b/>
          <w:color w:val="203748"/>
          <w:sz w:val="22"/>
        </w:rPr>
        <w:t xml:space="preserve">Interpretation. </w:t>
      </w:r>
      <w:r>
        <w:rPr>
          <w:rFonts w:ascii="Calibri" w:hAnsi="Calibri" w:eastAsia="Calibri"/>
          <w:color w:val="15212B"/>
          <w:sz w:val="22"/>
        </w:rPr>
        <w:t>The proposed speed formula is algebraically sound for the stated homogeneous relation.</w:t>
      </w:r>
    </w:p>
    <w:p>
      <w:pPr>
        <w:keepLines/>
        <w:spacing w:before="0" w:after="160" w:line="300" w:lineRule="auto"/>
        <w:jc w:val="both"/>
      </w:pPr>
      <w:r>
        <w:rPr>
          <w:rFonts w:ascii="Calibri" w:hAnsi="Calibri" w:eastAsia="Calibri"/>
          <w:b/>
          <w:color w:val="8A2734"/>
          <w:sz w:val="22"/>
        </w:rPr>
        <w:t xml:space="preserve">Boundary. </w:t>
      </w:r>
      <w:r>
        <w:rPr>
          <w:rFonts w:ascii="Calibri" w:hAnsi="Calibri" w:eastAsia="Calibri"/>
          <w:color w:val="15212B"/>
          <w:sz w:val="22"/>
        </w:rPr>
        <w:t>The theorem starts from the formal homogeneous relation. It does not derive that relation from the complete ME-002/005 field dynamics.</w:t>
      </w:r>
    </w:p>
    <w:p>
      <w:r>
        <w:br w:type="page"/>
      </w:r>
    </w:p>
    <w:p>
      <w:pPr>
        <w:spacing w:before="0" w:after="0" w:line="20" w:lineRule="exact"/>
      </w:pPr>
      <w:r>
        <w:rPr>
          <w:rFonts w:ascii="Calibri" w:hAnsi="Calibri" w:eastAsia="Calibri"/>
          <w:color w:val="FFFFFF"/>
          <w:sz w:val="2"/>
        </w:rPr>
        <w:t xml:space="preserve"> </w:t>
      </w:r>
    </w:p>
    <w:p>
      <w:pPr>
        <w:pStyle w:val="Heading3"/>
        <w:keepNext/>
        <w:pageBreakBefore w:val="0"/>
      </w:pPr>
      <w:r>
        <w:rPr>
          <w:rFonts w:ascii="Calibri" w:hAnsi="Calibri" w:eastAsia="Calibri"/>
          <w:b/>
          <w:color w:val="1F4D78"/>
          <w:sz w:val="24"/>
        </w:rPr>
        <w:t>Theorem IV.10 — ME002_005.phaseSpeed_unique_nonneg</w:t>
      </w:r>
    </w:p>
    <w:tbl>
      <w:tblPr>
        <w:tblW w:type="dxa" w:w="9360"/>
        <w:jc w:val="left"/>
        <w:tblLayout w:type="fixed"/>
        <w:tblLook w:firstColumn="1" w:firstRow="1" w:lastColumn="0" w:lastRow="0" w:noHBand="0" w:noVBand="1" w:val="04A0"/>
        <w:tblInd w:w="120" w:type="dxa"/>
        <w:tblBorders>
          <w:top w:val="single" w:sz="7" w:space="0" w:color="B8C4D2"/>
          <w:left w:val="single" w:sz="7" w:space="0" w:color="B8C4D2"/>
          <w:bottom w:val="single" w:sz="7" w:space="0" w:color="B8C4D2"/>
          <w:right w:val="single" w:sz="7" w:space="0" w:color="B8C4D2"/>
          <w:insideH w:val="single" w:sz="7" w:space="0" w:color="B8C4D2"/>
          <w:insideV w:val="single" w:sz="7" w:space="0" w:color="B8C4D2"/>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pPr>
            <w:r>
              <w:rPr>
                <w:rFonts w:ascii="Calibri" w:hAnsi="Calibri" w:eastAsia="Calibri"/>
                <w:b/>
                <w:color w:val="203748"/>
                <w:sz w:val="19"/>
              </w:rPr>
              <w:t xml:space="preserve">FORMAL STATEMENT. </w:t>
            </w:r>
            <w:r>
              <w:rPr>
                <w:rFonts w:ascii="Cambria Math" w:hAnsi="Cambria Math" w:eastAsia="Cambria Math"/>
                <w:color w:val="15212B"/>
                <w:sz w:val="20"/>
              </w:rPr>
              <w:t>Assume c ≥ 0, v ≥ 0, α² &lt; 1, and homogeneousPhaseRelation(c, α, v). Then v = phaseSpeed(c, α).</w:t>
            </w:r>
          </w:p>
        </w:tc>
      </w:tr>
    </w:tbl>
    <w:p>
      <w:pPr>
        <w:keepLines/>
        <w:spacing w:before="100" w:after="120" w:line="300" w:lineRule="auto"/>
        <w:jc w:val="both"/>
      </w:pPr>
      <w:r>
        <w:rPr>
          <w:rFonts w:ascii="Calibri" w:hAnsi="Calibri" w:eastAsia="Calibri"/>
          <w:b/>
          <w:color w:val="203748"/>
          <w:sz w:val="22"/>
        </w:rPr>
        <w:t xml:space="preserve">Proof. </w:t>
      </w:r>
      <w:r>
        <w:rPr>
          <w:rFonts w:ascii="Calibri" w:hAnsi="Calibri" w:eastAsia="Calibri"/>
          <w:color w:val="15212B"/>
          <w:sz w:val="22"/>
        </w:rPr>
        <w:t>With s = √(1−α²) &gt; 0, the relation becomes (sv)² = c². Both sv and c are nonnegative, so equality of their squares forces sv = c. Division by the positive s gives v = c/s.</w:t>
      </w:r>
    </w:p>
    <w:p>
      <w:pPr>
        <w:keepLines/>
        <w:spacing w:before="0" w:after="120" w:line="300" w:lineRule="auto"/>
        <w:jc w:val="both"/>
      </w:pPr>
      <w:r>
        <w:rPr>
          <w:rFonts w:ascii="Calibri" w:hAnsi="Calibri" w:eastAsia="Calibri"/>
          <w:b/>
          <w:color w:val="203748"/>
          <w:sz w:val="22"/>
        </w:rPr>
        <w:t xml:space="preserve">Interpretation. </w:t>
      </w:r>
      <w:r>
        <w:rPr>
          <w:rFonts w:ascii="Calibri" w:hAnsi="Calibri" w:eastAsia="Calibri"/>
          <w:color w:val="15212B"/>
          <w:sz w:val="22"/>
        </w:rPr>
        <w:t>Within the nonnegative speed branch, the formal phase speed is not merely a solution but the unique solution.</w:t>
      </w:r>
    </w:p>
    <w:p>
      <w:pPr>
        <w:keepLines/>
        <w:spacing w:before="0" w:after="160" w:line="300" w:lineRule="auto"/>
        <w:jc w:val="both"/>
      </w:pPr>
      <w:r>
        <w:rPr>
          <w:rFonts w:ascii="Calibri" w:hAnsi="Calibri" w:eastAsia="Calibri"/>
          <w:b/>
          <w:color w:val="8A2734"/>
          <w:sz w:val="22"/>
        </w:rPr>
        <w:t xml:space="preserve">Boundary. </w:t>
      </w:r>
      <w:r>
        <w:rPr>
          <w:rFonts w:ascii="Calibri" w:hAnsi="Calibri" w:eastAsia="Calibri"/>
          <w:color w:val="15212B"/>
          <w:sz w:val="22"/>
        </w:rPr>
        <w:t>Without the nonnegativity assumptions, the squared relation also permits the negative branch.</w:t>
      </w:r>
    </w:p>
    <w:p>
      <w:r>
        <w:br w:type="page"/>
      </w:r>
    </w:p>
    <w:p>
      <w:pPr>
        <w:spacing w:before="0" w:after="0" w:line="20" w:lineRule="exact"/>
      </w:pPr>
      <w:r>
        <w:rPr>
          <w:rFonts w:ascii="Calibri" w:hAnsi="Calibri" w:eastAsia="Calibri"/>
          <w:color w:val="FFFFFF"/>
          <w:sz w:val="2"/>
        </w:rPr>
        <w:t xml:space="preserve"> </w:t>
      </w:r>
    </w:p>
    <w:p>
      <w:pPr>
        <w:pStyle w:val="Heading2"/>
      </w:pPr>
      <w:r>
        <w:t>4.2 Speed ordering and exact limiting case</w:t>
      </w:r>
    </w:p>
    <w:p>
      <w:pPr>
        <w:pStyle w:val="Heading3"/>
        <w:keepNext/>
        <w:pageBreakBefore w:val="0"/>
      </w:pPr>
      <w:r>
        <w:rPr>
          <w:rFonts w:ascii="Calibri" w:hAnsi="Calibri" w:eastAsia="Calibri"/>
          <w:b/>
          <w:color w:val="1F4D78"/>
          <w:sz w:val="24"/>
        </w:rPr>
        <w:t>Theorem IV.11 — le_phaseSpeed</w:t>
      </w:r>
    </w:p>
    <w:tbl>
      <w:tblPr>
        <w:tblW w:type="dxa" w:w="9360"/>
        <w:jc w:val="left"/>
        <w:tblLayout w:type="fixed"/>
        <w:tblLook w:firstColumn="1" w:firstRow="1" w:lastColumn="0" w:lastRow="0" w:noHBand="0" w:noVBand="1" w:val="04A0"/>
        <w:tblInd w:w="120" w:type="dxa"/>
        <w:tblBorders>
          <w:top w:val="single" w:sz="7" w:space="0" w:color="B8C4D2"/>
          <w:left w:val="single" w:sz="7" w:space="0" w:color="B8C4D2"/>
          <w:bottom w:val="single" w:sz="7" w:space="0" w:color="B8C4D2"/>
          <w:right w:val="single" w:sz="7" w:space="0" w:color="B8C4D2"/>
          <w:insideH w:val="single" w:sz="7" w:space="0" w:color="B8C4D2"/>
          <w:insideV w:val="single" w:sz="7" w:space="0" w:color="B8C4D2"/>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pPr>
            <w:r>
              <w:rPr>
                <w:rFonts w:ascii="Calibri" w:hAnsi="Calibri" w:eastAsia="Calibri"/>
                <w:b/>
                <w:color w:val="203748"/>
                <w:sz w:val="19"/>
              </w:rPr>
              <w:t xml:space="preserve">FORMAL STATEMENT. </w:t>
            </w:r>
            <w:r>
              <w:rPr>
                <w:rFonts w:ascii="Cambria Math" w:hAnsi="Cambria Math" w:eastAsia="Cambria Math"/>
                <w:color w:val="15212B"/>
                <w:sz w:val="20"/>
              </w:rPr>
              <w:t>If c &gt; 0 and α² &lt; 1, then c ≤ phaseSpeed(c, α).</w:t>
            </w:r>
          </w:p>
        </w:tc>
      </w:tr>
    </w:tbl>
    <w:p>
      <w:pPr>
        <w:keepLines/>
        <w:spacing w:before="100" w:after="120" w:line="300" w:lineRule="auto"/>
        <w:jc w:val="both"/>
      </w:pPr>
      <w:r>
        <w:rPr>
          <w:rFonts w:ascii="Calibri" w:hAnsi="Calibri" w:eastAsia="Calibri"/>
          <w:b/>
          <w:color w:val="203748"/>
          <w:sz w:val="22"/>
        </w:rPr>
        <w:t xml:space="preserve">Proof. </w:t>
      </w:r>
      <w:r>
        <w:rPr>
          <w:rFonts w:ascii="Calibri" w:hAnsi="Calibri" w:eastAsia="Calibri"/>
          <w:color w:val="15212B"/>
          <w:sz w:val="22"/>
        </w:rPr>
        <w:t>By Theorems IV.7 and IV.8, 0 &lt; s = √(1−α²) ≤ 1. Multiplying c ≤ c/s by s &gt; 0 reduces the claim to cs ≤ c, which follows from c &gt; 0 and s ≤ 1.</w:t>
      </w:r>
    </w:p>
    <w:p>
      <w:pPr>
        <w:keepLines/>
        <w:spacing w:before="0" w:after="120" w:line="300" w:lineRule="auto"/>
        <w:jc w:val="both"/>
      </w:pPr>
      <w:r>
        <w:rPr>
          <w:rFonts w:ascii="Calibri" w:hAnsi="Calibri" w:eastAsia="Calibri"/>
          <w:b/>
          <w:color w:val="203748"/>
          <w:sz w:val="22"/>
        </w:rPr>
        <w:t xml:space="preserve">Interpretation. </w:t>
      </w:r>
      <w:r>
        <w:rPr>
          <w:rFonts w:ascii="Calibri" w:hAnsi="Calibri" w:eastAsia="Calibri"/>
          <w:color w:val="15212B"/>
          <w:sz w:val="22"/>
        </w:rPr>
        <w:t>The modeled phase speed never falls below the positive baseline in the admissible regime.</w:t>
      </w:r>
    </w:p>
    <w:p>
      <w:pPr>
        <w:pStyle w:val="Heading3"/>
        <w:keepNext/>
        <w:pageBreakBefore w:val="0"/>
      </w:pPr>
      <w:r>
        <w:rPr>
          <w:rFonts w:ascii="Calibri" w:hAnsi="Calibri" w:eastAsia="Calibri"/>
          <w:b/>
          <w:color w:val="1F4D78"/>
          <w:sz w:val="24"/>
        </w:rPr>
        <w:t>Theorem IV.12 — lt_phaseSpeed</w:t>
      </w:r>
    </w:p>
    <w:tbl>
      <w:tblPr>
        <w:tblW w:type="dxa" w:w="9360"/>
        <w:jc w:val="left"/>
        <w:tblLayout w:type="fixed"/>
        <w:tblLook w:firstColumn="1" w:firstRow="1" w:lastColumn="0" w:lastRow="0" w:noHBand="0" w:noVBand="1" w:val="04A0"/>
        <w:tblInd w:w="120" w:type="dxa"/>
        <w:tblBorders>
          <w:top w:val="single" w:sz="7" w:space="0" w:color="B8C4D2"/>
          <w:left w:val="single" w:sz="7" w:space="0" w:color="B8C4D2"/>
          <w:bottom w:val="single" w:sz="7" w:space="0" w:color="B8C4D2"/>
          <w:right w:val="single" w:sz="7" w:space="0" w:color="B8C4D2"/>
          <w:insideH w:val="single" w:sz="7" w:space="0" w:color="B8C4D2"/>
          <w:insideV w:val="single" w:sz="7" w:space="0" w:color="B8C4D2"/>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pPr>
            <w:r>
              <w:rPr>
                <w:rFonts w:ascii="Calibri" w:hAnsi="Calibri" w:eastAsia="Calibri"/>
                <w:b/>
                <w:color w:val="203748"/>
                <w:sz w:val="19"/>
              </w:rPr>
              <w:t xml:space="preserve">FORMAL STATEMENT. </w:t>
            </w:r>
            <w:r>
              <w:rPr>
                <w:rFonts w:ascii="Cambria Math" w:hAnsi="Cambria Math" w:eastAsia="Cambria Math"/>
                <w:color w:val="15212B"/>
                <w:sz w:val="20"/>
              </w:rPr>
              <w:t>If c &gt; 0, α² &lt; 1, and α ≠ 0, then c &lt; phaseSpeed(c, α).</w:t>
            </w:r>
          </w:p>
        </w:tc>
      </w:tr>
    </w:tbl>
    <w:p>
      <w:pPr>
        <w:keepLines/>
        <w:spacing w:before="100" w:after="120" w:line="300" w:lineRule="auto"/>
        <w:jc w:val="both"/>
      </w:pPr>
      <w:r>
        <w:rPr>
          <w:rFonts w:ascii="Calibri" w:hAnsi="Calibri" w:eastAsia="Calibri"/>
          <w:b/>
          <w:color w:val="203748"/>
          <w:sz w:val="22"/>
        </w:rPr>
        <w:t xml:space="preserve">Proof. </w:t>
      </w:r>
      <w:r>
        <w:rPr>
          <w:rFonts w:ascii="Calibri" w:hAnsi="Calibri" w:eastAsia="Calibri"/>
          <w:color w:val="15212B"/>
          <w:sz w:val="22"/>
        </w:rPr>
        <w:t>Nonzero α gives α² &gt; 0. Hence 1−α² &lt; 1 and, with positivity, √(1−α²) &lt; 1. Dividing positive c by a positive number strictly below one yields a value strictly above c.</w:t>
      </w:r>
    </w:p>
    <w:p>
      <w:pPr>
        <w:keepLines/>
        <w:spacing w:before="0" w:after="120" w:line="300" w:lineRule="auto"/>
        <w:jc w:val="both"/>
      </w:pPr>
      <w:r>
        <w:rPr>
          <w:rFonts w:ascii="Calibri" w:hAnsi="Calibri" w:eastAsia="Calibri"/>
          <w:b/>
          <w:color w:val="203748"/>
          <w:sz w:val="22"/>
        </w:rPr>
        <w:t xml:space="preserve">Interpretation. </w:t>
      </w:r>
      <w:r>
        <w:rPr>
          <w:rFonts w:ascii="Calibri" w:hAnsi="Calibri" w:eastAsia="Calibri"/>
          <w:color w:val="15212B"/>
          <w:sz w:val="22"/>
        </w:rPr>
        <w:t>Any nonzero admissible coupling creates a positive phase-speed excess within the model.</w:t>
      </w:r>
    </w:p>
    <w:p>
      <w:pPr>
        <w:pStyle w:val="Heading3"/>
        <w:keepNext/>
        <w:pageBreakBefore w:val="0"/>
      </w:pPr>
      <w:r>
        <w:rPr>
          <w:rFonts w:ascii="Calibri" w:hAnsi="Calibri" w:eastAsia="Calibri"/>
          <w:b/>
          <w:color w:val="1F4D78"/>
          <w:sz w:val="24"/>
        </w:rPr>
        <w:t>Theorem IV.13 — alpha_sq_le_of_speed_measurement</w:t>
      </w:r>
    </w:p>
    <w:tbl>
      <w:tblPr>
        <w:tblW w:type="dxa" w:w="9360"/>
        <w:jc w:val="left"/>
        <w:tblLayout w:type="fixed"/>
        <w:tblLook w:firstColumn="1" w:firstRow="1" w:lastColumn="0" w:lastRow="0" w:noHBand="0" w:noVBand="1" w:val="04A0"/>
        <w:tblInd w:w="120" w:type="dxa"/>
        <w:tblBorders>
          <w:top w:val="single" w:sz="7" w:space="0" w:color="B8C4D2"/>
          <w:left w:val="single" w:sz="7" w:space="0" w:color="B8C4D2"/>
          <w:bottom w:val="single" w:sz="7" w:space="0" w:color="B8C4D2"/>
          <w:right w:val="single" w:sz="7" w:space="0" w:color="B8C4D2"/>
          <w:insideH w:val="single" w:sz="7" w:space="0" w:color="B8C4D2"/>
          <w:insideV w:val="single" w:sz="7" w:space="0" w:color="B8C4D2"/>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pPr>
            <w:r>
              <w:rPr>
                <w:rFonts w:ascii="Calibri" w:hAnsi="Calibri" w:eastAsia="Calibri"/>
                <w:b/>
                <w:color w:val="203748"/>
                <w:sz w:val="19"/>
              </w:rPr>
              <w:t xml:space="preserve">FORMAL STATEMENT. </w:t>
            </w:r>
            <w:r>
              <w:rPr>
                <w:rFonts w:ascii="Cambria Math" w:hAnsi="Cambria Math" w:eastAsia="Cambria Math"/>
                <w:color w:val="15212B"/>
                <w:sz w:val="20"/>
              </w:rPr>
              <w:t>Assume c &gt; 0, α² &lt; 1, and |phaseSpeed(c, α) − c| ≤ p. Then α²(c+p)² ≤ p² + 2pc.</w:t>
            </w:r>
          </w:p>
        </w:tc>
      </w:tr>
    </w:tbl>
    <w:p>
      <w:pPr>
        <w:keepLines/>
        <w:spacing w:before="100" w:after="120" w:line="300" w:lineRule="auto"/>
        <w:jc w:val="both"/>
      </w:pPr>
      <w:r>
        <w:rPr>
          <w:rFonts w:ascii="Calibri" w:hAnsi="Calibri" w:eastAsia="Calibri"/>
          <w:b/>
          <w:color w:val="203748"/>
          <w:sz w:val="22"/>
        </w:rPr>
        <w:t xml:space="preserve">Proof. </w:t>
      </w:r>
      <w:r>
        <w:rPr>
          <w:rFonts w:ascii="Calibri" w:hAnsi="Calibri" w:eastAsia="Calibri"/>
          <w:color w:val="15212B"/>
          <w:sz w:val="22"/>
        </w:rPr>
        <w:t>Theorem IV.11 makes the speed difference nonnegative, so the absolute-error hypothesis yields phaseSpeed(c, α) ≤ c+p and also p ≥ 0. Put s = √(1−α²) &gt; 0. Multiplying c/s ≤ c+p by s gives c ≤ (c+p)s. Squaring is order-safe because the terms are nonnegative. Using s² = 1−α² and expanding (c+p)²−c² gives α²(c+p)² ≤ p²+2pc.</w:t>
      </w:r>
    </w:p>
    <w:p>
      <w:pPr>
        <w:keepLines/>
        <w:spacing w:before="0" w:after="120" w:line="300" w:lineRule="auto"/>
        <w:jc w:val="both"/>
      </w:pPr>
      <w:r>
        <w:rPr>
          <w:rFonts w:ascii="Calibri" w:hAnsi="Calibri" w:eastAsia="Calibri"/>
          <w:b/>
          <w:color w:val="203748"/>
          <w:sz w:val="22"/>
        </w:rPr>
        <w:t xml:space="preserve">Interpretation. </w:t>
      </w:r>
      <w:r>
        <w:rPr>
          <w:rFonts w:ascii="Calibri" w:hAnsi="Calibri" w:eastAsia="Calibri"/>
          <w:color w:val="15212B"/>
          <w:sz w:val="22"/>
        </w:rPr>
        <w:t>A null result with tolerance p yields an explicit upper constraint on the squared coupling. For c+p ≠ 0, the displayed inequality can be divided by (c+p)² to obtain α² ≤ (p²+2pc)/(c+p)².</w:t>
      </w:r>
    </w:p>
    <w:p>
      <w:pPr>
        <w:keepLines/>
        <w:spacing w:before="0" w:after="160" w:line="300" w:lineRule="auto"/>
        <w:jc w:val="both"/>
      </w:pPr>
      <w:r>
        <w:rPr>
          <w:rFonts w:ascii="Calibri" w:hAnsi="Calibri" w:eastAsia="Calibri"/>
          <w:b/>
          <w:color w:val="8A2734"/>
          <w:sz w:val="22"/>
        </w:rPr>
        <w:t xml:space="preserve">Boundary. </w:t>
      </w:r>
      <w:r>
        <w:rPr>
          <w:rFonts w:ascii="Calibri" w:hAnsi="Calibri" w:eastAsia="Calibri"/>
          <w:color w:val="15212B"/>
          <w:sz w:val="22"/>
        </w:rPr>
        <w:t>The theorem is deterministic and uses an absolute tolerance. It is not a confidence interval and contains no stochastic noise or systematic-error model.</w:t>
      </w:r>
    </w:p>
    <w:p>
      <w:r>
        <w:br w:type="page"/>
      </w:r>
    </w:p>
    <w:p>
      <w:pPr>
        <w:spacing w:before="0" w:after="0" w:line="20" w:lineRule="exact"/>
      </w:pPr>
      <w:r>
        <w:rPr>
          <w:rFonts w:ascii="Calibri" w:hAnsi="Calibri" w:eastAsia="Calibri"/>
          <w:color w:val="FFFFFF"/>
          <w:sz w:val="2"/>
        </w:rPr>
        <w:t xml:space="preserve"> </w:t>
      </w:r>
    </w:p>
    <w:p>
      <w:pPr>
        <w:pStyle w:val="Heading3"/>
        <w:keepNext/>
        <w:pageBreakBefore w:val="0"/>
      </w:pPr>
      <w:r>
        <w:rPr>
          <w:rFonts w:ascii="Calibri" w:hAnsi="Calibri" w:eastAsia="Calibri"/>
          <w:b/>
          <w:color w:val="1F4D78"/>
          <w:sz w:val="24"/>
        </w:rPr>
        <w:t>Theorem IV.14 — alpha_eq_zero_of_exact_lightspeed</w:t>
      </w:r>
    </w:p>
    <w:tbl>
      <w:tblPr>
        <w:tblW w:type="dxa" w:w="9360"/>
        <w:jc w:val="left"/>
        <w:tblLayout w:type="fixed"/>
        <w:tblLook w:firstColumn="1" w:firstRow="1" w:lastColumn="0" w:lastRow="0" w:noHBand="0" w:noVBand="1" w:val="04A0"/>
        <w:tblInd w:w="120" w:type="dxa"/>
        <w:tblBorders>
          <w:top w:val="single" w:sz="7" w:space="0" w:color="B8C4D2"/>
          <w:left w:val="single" w:sz="7" w:space="0" w:color="B8C4D2"/>
          <w:bottom w:val="single" w:sz="7" w:space="0" w:color="B8C4D2"/>
          <w:right w:val="single" w:sz="7" w:space="0" w:color="B8C4D2"/>
          <w:insideH w:val="single" w:sz="7" w:space="0" w:color="B8C4D2"/>
          <w:insideV w:val="single" w:sz="7" w:space="0" w:color="B8C4D2"/>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pPr>
            <w:r>
              <w:rPr>
                <w:rFonts w:ascii="Calibri" w:hAnsi="Calibri" w:eastAsia="Calibri"/>
                <w:b/>
                <w:color w:val="203748"/>
                <w:sz w:val="19"/>
              </w:rPr>
              <w:t xml:space="preserve">FORMAL STATEMENT. </w:t>
            </w:r>
            <w:r>
              <w:rPr>
                <w:rFonts w:ascii="Cambria Math" w:hAnsi="Cambria Math" w:eastAsia="Cambria Math"/>
                <w:color w:val="15212B"/>
                <w:sz w:val="20"/>
              </w:rPr>
              <w:t>If c &gt; 0, α² &lt; 1, and phaseSpeed(c, α) = c, then α = 0.</w:t>
            </w:r>
          </w:p>
        </w:tc>
      </w:tr>
    </w:tbl>
    <w:p>
      <w:pPr>
        <w:keepLines/>
        <w:spacing w:before="100" w:after="120" w:line="300" w:lineRule="auto"/>
        <w:jc w:val="both"/>
      </w:pPr>
      <w:r>
        <w:rPr>
          <w:rFonts w:ascii="Calibri" w:hAnsi="Calibri" w:eastAsia="Calibri"/>
          <w:b/>
          <w:color w:val="203748"/>
          <w:sz w:val="22"/>
        </w:rPr>
        <w:t xml:space="preserve">Proof. </w:t>
      </w:r>
      <w:r>
        <w:rPr>
          <w:rFonts w:ascii="Calibri" w:hAnsi="Calibri" w:eastAsia="Calibri"/>
          <w:color w:val="15212B"/>
          <w:sz w:val="22"/>
        </w:rPr>
        <w:t>If α were nonzero, Theorem IV.12 would give c &lt; phaseSpeed(c, α), contradicting exact equality.</w:t>
      </w:r>
    </w:p>
    <w:p>
      <w:pPr>
        <w:keepLines/>
        <w:spacing w:before="0" w:after="120" w:line="300" w:lineRule="auto"/>
        <w:jc w:val="both"/>
      </w:pPr>
      <w:r>
        <w:rPr>
          <w:rFonts w:ascii="Calibri" w:hAnsi="Calibri" w:eastAsia="Calibri"/>
          <w:b/>
          <w:color w:val="203748"/>
          <w:sz w:val="22"/>
        </w:rPr>
        <w:t xml:space="preserve">Interpretation. </w:t>
      </w:r>
      <w:r>
        <w:rPr>
          <w:rFonts w:ascii="Calibri" w:hAnsi="Calibri" w:eastAsia="Calibri"/>
          <w:color w:val="15212B"/>
          <w:sz w:val="22"/>
        </w:rPr>
        <w:t>Exact baseline speed forces the zero-coupling parameter inside this model.</w:t>
      </w:r>
    </w:p>
    <w:p>
      <w:pPr>
        <w:keepLines/>
        <w:spacing w:before="0" w:after="160" w:line="300" w:lineRule="auto"/>
        <w:jc w:val="both"/>
      </w:pPr>
      <w:r>
        <w:rPr>
          <w:rFonts w:ascii="Calibri" w:hAnsi="Calibri" w:eastAsia="Calibri"/>
          <w:b/>
          <w:color w:val="8A2734"/>
          <w:sz w:val="22"/>
        </w:rPr>
        <w:t xml:space="preserve">Boundary. </w:t>
      </w:r>
      <w:r>
        <w:rPr>
          <w:rFonts w:ascii="Calibri" w:hAnsi="Calibri" w:eastAsia="Calibri"/>
          <w:color w:val="15212B"/>
          <w:sz w:val="22"/>
        </w:rPr>
        <w:t>This is a conditional exact statement. Physical experiments ordinarily deliver finite precision, for which Theorem IV.13 gives a bound rather than exact equality.</w:t>
      </w:r>
    </w:p>
    <w:p>
      <w:pPr>
        <w:pStyle w:val="Heading2"/>
      </w:pPr>
      <w:r>
        <w:t>4.3 Uniform gaps and discriminating experiments</w:t>
      </w:r>
    </w:p>
    <w:p>
      <w:pPr>
        <w:pStyle w:val="Heading3"/>
        <w:keepNext/>
        <w:pageBreakBefore w:val="0"/>
      </w:pPr>
      <w:r>
        <w:rPr>
          <w:rFonts w:ascii="Calibri" w:hAnsi="Calibri" w:eastAsia="Calibri"/>
          <w:b/>
          <w:color w:val="1F4D78"/>
          <w:sz w:val="24"/>
        </w:rPr>
        <w:t>Theorem IV.15 — phaseSpeed_gap</w:t>
      </w:r>
    </w:p>
    <w:tbl>
      <w:tblPr>
        <w:tblW w:type="dxa" w:w="9360"/>
        <w:jc w:val="left"/>
        <w:tblLayout w:type="fixed"/>
        <w:tblLook w:firstColumn="1" w:firstRow="1" w:lastColumn="0" w:lastRow="0" w:noHBand="0" w:noVBand="1" w:val="04A0"/>
        <w:tblInd w:w="120" w:type="dxa"/>
        <w:tblBorders>
          <w:top w:val="single" w:sz="7" w:space="0" w:color="B8C4D2"/>
          <w:left w:val="single" w:sz="7" w:space="0" w:color="B8C4D2"/>
          <w:bottom w:val="single" w:sz="7" w:space="0" w:color="B8C4D2"/>
          <w:right w:val="single" w:sz="7" w:space="0" w:color="B8C4D2"/>
          <w:insideH w:val="single" w:sz="7" w:space="0" w:color="B8C4D2"/>
          <w:insideV w:val="single" w:sz="7" w:space="0" w:color="B8C4D2"/>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pPr>
            <w:r>
              <w:rPr>
                <w:rFonts w:ascii="Calibri" w:hAnsi="Calibri" w:eastAsia="Calibri"/>
                <w:b/>
                <w:color w:val="203748"/>
                <w:sz w:val="19"/>
              </w:rPr>
              <w:t xml:space="preserve">FORMAL STATEMENT. </w:t>
            </w:r>
            <w:r>
              <w:rPr>
                <w:rFonts w:ascii="Cambria Math" w:hAnsi="Cambria Math" w:eastAsia="Cambria Math"/>
                <w:color w:val="15212B"/>
                <w:sz w:val="20"/>
              </w:rPr>
              <w:t>Assume c &gt; 0, ε &gt; 0, α² &lt; 1, and ε ≤ |α|. Then phaseSpeed(c, ε) − c ≤ phaseSpeed(c, α) − c.</w:t>
            </w:r>
          </w:p>
        </w:tc>
      </w:tr>
    </w:tbl>
    <w:p>
      <w:pPr>
        <w:keepLines/>
        <w:spacing w:before="100" w:after="120" w:line="300" w:lineRule="auto"/>
        <w:jc w:val="both"/>
      </w:pPr>
      <w:r>
        <w:rPr>
          <w:rFonts w:ascii="Calibri" w:hAnsi="Calibri" w:eastAsia="Calibri"/>
          <w:b/>
          <w:color w:val="203748"/>
          <w:sz w:val="22"/>
        </w:rPr>
        <w:t xml:space="preserve">Proof. </w:t>
      </w:r>
      <w:r>
        <w:rPr>
          <w:rFonts w:ascii="Calibri" w:hAnsi="Calibri" w:eastAsia="Calibri"/>
          <w:color w:val="15212B"/>
          <w:sz w:val="22"/>
        </w:rPr>
        <w:t>From ε ≤ |α| and nonnegativity, ε² ≤ α². Therefore 1−α² ≤ 1−ε², so √(1−α²) ≤ √(1−ε²). Positivity of both denominators and c implies c/√(1−ε²) ≤ c/√(1−α²). Subtract c.</w:t>
      </w:r>
    </w:p>
    <w:p>
      <w:pPr>
        <w:keepLines/>
        <w:spacing w:before="0" w:after="120" w:line="300" w:lineRule="auto"/>
        <w:jc w:val="both"/>
      </w:pPr>
      <w:r>
        <w:rPr>
          <w:rFonts w:ascii="Calibri" w:hAnsi="Calibri" w:eastAsia="Calibri"/>
          <w:b/>
          <w:color w:val="203748"/>
          <w:sz w:val="22"/>
        </w:rPr>
        <w:t xml:space="preserve">Interpretation. </w:t>
      </w:r>
      <w:r>
        <w:rPr>
          <w:rFonts w:ascii="Calibri" w:hAnsi="Calibri" w:eastAsia="Calibri"/>
          <w:color w:val="15212B"/>
          <w:sz w:val="22"/>
        </w:rPr>
        <w:t>All couplings whose magnitude is at least ε have a speed excess at least as large as the threshold model’s excess.</w:t>
      </w:r>
    </w:p>
    <w:p>
      <w:pPr>
        <w:keepLines/>
        <w:spacing w:before="0" w:after="160" w:line="300" w:lineRule="auto"/>
        <w:jc w:val="both"/>
      </w:pPr>
      <w:r>
        <w:rPr>
          <w:rFonts w:ascii="Calibri" w:hAnsi="Calibri" w:eastAsia="Calibri"/>
          <w:b/>
          <w:color w:val="8A2734"/>
          <w:sz w:val="22"/>
        </w:rPr>
        <w:t xml:space="preserve">Boundary. </w:t>
      </w:r>
      <w:r>
        <w:rPr>
          <w:rFonts w:ascii="Calibri" w:hAnsi="Calibri" w:eastAsia="Calibri"/>
          <w:color w:val="15212B"/>
          <w:sz w:val="22"/>
        </w:rPr>
        <w:t>The assumptions imply ε² &lt; 1 through ε ≤ |α| and α² &lt; 1; the comparison remains inside the admissible regime.</w:t>
      </w:r>
    </w:p>
    <w:p>
      <w:r>
        <w:br w:type="page"/>
      </w:r>
    </w:p>
    <w:p>
      <w:pPr>
        <w:spacing w:before="0" w:after="0" w:line="20" w:lineRule="exact"/>
      </w:pPr>
      <w:r>
        <w:rPr>
          <w:rFonts w:ascii="Calibri" w:hAnsi="Calibri" w:eastAsia="Calibri"/>
          <w:color w:val="FFFFFF"/>
          <w:sz w:val="2"/>
        </w:rPr>
        <w:t xml:space="preserve"> </w:t>
      </w:r>
    </w:p>
    <w:p>
      <w:pPr>
        <w:pStyle w:val="Heading3"/>
        <w:keepNext/>
        <w:pageBreakBefore w:val="0"/>
      </w:pPr>
      <w:r>
        <w:rPr>
          <w:rFonts w:ascii="Calibri" w:hAnsi="Calibri" w:eastAsia="Calibri"/>
          <w:b/>
          <w:color w:val="1F4D78"/>
          <w:sz w:val="24"/>
        </w:rPr>
        <w:t>Theorem IV.16 — speed_experiment_discriminates</w:t>
      </w:r>
    </w:p>
    <w:tbl>
      <w:tblPr>
        <w:tblW w:type="dxa" w:w="9360"/>
        <w:jc w:val="left"/>
        <w:tblLayout w:type="fixed"/>
        <w:tblLook w:firstColumn="1" w:firstRow="1" w:lastColumn="0" w:lastRow="0" w:noHBand="0" w:noVBand="1" w:val="04A0"/>
        <w:tblInd w:w="120" w:type="dxa"/>
        <w:tblBorders>
          <w:top w:val="single" w:sz="7" w:space="0" w:color="B8C4D2"/>
          <w:left w:val="single" w:sz="7" w:space="0" w:color="B8C4D2"/>
          <w:bottom w:val="single" w:sz="7" w:space="0" w:color="B8C4D2"/>
          <w:right w:val="single" w:sz="7" w:space="0" w:color="B8C4D2"/>
          <w:insideH w:val="single" w:sz="7" w:space="0" w:color="B8C4D2"/>
          <w:insideV w:val="single" w:sz="7" w:space="0" w:color="B8C4D2"/>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pPr>
            <w:r>
              <w:rPr>
                <w:rFonts w:ascii="Calibri" w:hAnsi="Calibri" w:eastAsia="Calibri"/>
                <w:b/>
                <w:color w:val="203748"/>
                <w:sz w:val="19"/>
              </w:rPr>
              <w:t xml:space="preserve">FORMAL STATEMENT. </w:t>
            </w:r>
            <w:r>
              <w:rPr>
                <w:rFonts w:ascii="Cambria Math" w:hAnsi="Cambria Math" w:eastAsia="Cambria Math"/>
                <w:color w:val="15212B"/>
                <w:sz w:val="20"/>
              </w:rPr>
              <w:t>Assume c &gt; 0, ε &gt; 0, α² &lt; 1, ε ≤ |α|, and 2p &lt; phaseSpeed(c, ε)−c. Then, for every reading r, the measurement (phaseSpeed(c, ·), r, p) cannot be compatible with both α = 0 and the given α.</w:t>
            </w:r>
          </w:p>
        </w:tc>
      </w:tr>
    </w:tbl>
    <w:p>
      <w:pPr>
        <w:keepLines/>
        <w:spacing w:before="100" w:after="120" w:line="300" w:lineRule="auto"/>
        <w:jc w:val="both"/>
      </w:pPr>
      <w:r>
        <w:rPr>
          <w:rFonts w:ascii="Calibri" w:hAnsi="Calibri" w:eastAsia="Calibri"/>
          <w:b/>
          <w:color w:val="203748"/>
          <w:sz w:val="22"/>
        </w:rPr>
        <w:t xml:space="preserve">Proof. </w:t>
      </w:r>
      <w:r>
        <w:rPr>
          <w:rFonts w:ascii="Calibri" w:hAnsi="Calibri" w:eastAsia="Calibri"/>
          <w:color w:val="15212B"/>
          <w:sz w:val="22"/>
        </w:rPr>
        <w:t>Theorem IV.6 makes the zero-coupling prediction c. Theorem IV.15 makes the separation |phaseSpeed(c,0)−phaseSpeed(c,α)| equal to phaseSpeed(c,α)−c and at least the ε-gap. The assumed 2p bound therefore satisfies the premise of Theorem IV.4.</w:t>
      </w:r>
    </w:p>
    <w:p>
      <w:pPr>
        <w:keepLines/>
        <w:spacing w:before="0" w:after="120" w:line="300" w:lineRule="auto"/>
        <w:jc w:val="both"/>
      </w:pPr>
      <w:r>
        <w:rPr>
          <w:rFonts w:ascii="Calibri" w:hAnsi="Calibri" w:eastAsia="Calibri"/>
          <w:b/>
          <w:color w:val="203748"/>
          <w:sz w:val="22"/>
        </w:rPr>
        <w:t xml:space="preserve">Interpretation. </w:t>
      </w:r>
      <w:r>
        <w:rPr>
          <w:rFonts w:ascii="Calibri" w:hAnsi="Calibri" w:eastAsia="Calibri"/>
          <w:color w:val="15212B"/>
          <w:sz w:val="22"/>
        </w:rPr>
        <w:t>A precision narrower than half the uniform prediction gap separates the null coupling from every alternative with |α| ≥ ε, regardless of the reading.</w:t>
      </w:r>
    </w:p>
    <w:p>
      <w:pPr>
        <w:pStyle w:val="Heading3"/>
        <w:keepNext/>
        <w:pageBreakBefore w:val="0"/>
      </w:pPr>
      <w:r>
        <w:rPr>
          <w:rFonts w:ascii="Calibri" w:hAnsi="Calibri" w:eastAsia="Calibri"/>
          <w:b/>
          <w:color w:val="1F4D78"/>
          <w:sz w:val="24"/>
        </w:rPr>
        <w:t>Theorem IV.17 — decisive_precision_exists</w:t>
      </w:r>
    </w:p>
    <w:tbl>
      <w:tblPr>
        <w:tblW w:type="dxa" w:w="9360"/>
        <w:jc w:val="left"/>
        <w:tblLayout w:type="fixed"/>
        <w:tblLook w:firstColumn="1" w:firstRow="1" w:lastColumn="0" w:lastRow="0" w:noHBand="0" w:noVBand="1" w:val="04A0"/>
        <w:tblInd w:w="120" w:type="dxa"/>
        <w:tblBorders>
          <w:top w:val="single" w:sz="7" w:space="0" w:color="B8C4D2"/>
          <w:left w:val="single" w:sz="7" w:space="0" w:color="B8C4D2"/>
          <w:bottom w:val="single" w:sz="7" w:space="0" w:color="B8C4D2"/>
          <w:right w:val="single" w:sz="7" w:space="0" w:color="B8C4D2"/>
          <w:insideH w:val="single" w:sz="7" w:space="0" w:color="B8C4D2"/>
          <w:insideV w:val="single" w:sz="7" w:space="0" w:color="B8C4D2"/>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pPr>
            <w:r>
              <w:rPr>
                <w:rFonts w:ascii="Calibri" w:hAnsi="Calibri" w:eastAsia="Calibri"/>
                <w:b/>
                <w:color w:val="203748"/>
                <w:sz w:val="19"/>
              </w:rPr>
              <w:t xml:space="preserve">FORMAL STATEMENT. </w:t>
            </w:r>
            <w:r>
              <w:rPr>
                <w:rFonts w:ascii="Cambria Math" w:hAnsi="Cambria Math" w:eastAsia="Cambria Math"/>
                <w:color w:val="15212B"/>
                <w:sz w:val="20"/>
              </w:rPr>
              <w:t>Assume c &gt; 0, ε &gt; 0, ε² &lt; 1, α² &lt; 1, and ε ≤ |α|. Then there exists p &gt; 0 such that every reading r fails to be compatible with both α = 0 and α.</w:t>
            </w:r>
          </w:p>
        </w:tc>
      </w:tr>
    </w:tbl>
    <w:p>
      <w:pPr>
        <w:keepLines/>
        <w:spacing w:before="100" w:after="120" w:line="300" w:lineRule="auto"/>
        <w:jc w:val="both"/>
      </w:pPr>
      <w:r>
        <w:rPr>
          <w:rFonts w:ascii="Calibri" w:hAnsi="Calibri" w:eastAsia="Calibri"/>
          <w:b/>
          <w:color w:val="203748"/>
          <w:sz w:val="22"/>
        </w:rPr>
        <w:t xml:space="preserve">Proof. </w:t>
      </w:r>
      <w:r>
        <w:rPr>
          <w:rFonts w:ascii="Calibri" w:hAnsi="Calibri" w:eastAsia="Calibri"/>
          <w:color w:val="15212B"/>
          <w:sz w:val="22"/>
        </w:rPr>
        <w:t>Theorem IV.12 applied at ε shows Δε = phaseSpeed(c,ε)−c &gt; 0. Choose p = Δε/4. Then p &gt; 0 and 2p = Δε/2 &lt; Δε, so Theorem IV.16 gives discrimination for every r.</w:t>
      </w:r>
    </w:p>
    <w:p>
      <w:pPr>
        <w:keepLines/>
        <w:spacing w:before="0" w:after="120" w:line="300" w:lineRule="auto"/>
        <w:jc w:val="both"/>
      </w:pPr>
      <w:r>
        <w:rPr>
          <w:rFonts w:ascii="Calibri" w:hAnsi="Calibri" w:eastAsia="Calibri"/>
          <w:b/>
          <w:color w:val="203748"/>
          <w:sz w:val="22"/>
        </w:rPr>
        <w:t xml:space="preserve">Interpretation. </w:t>
      </w:r>
      <w:r>
        <w:rPr>
          <w:rFonts w:ascii="Calibri" w:hAnsi="Calibri" w:eastAsia="Calibri"/>
          <w:color w:val="15212B"/>
          <w:sz w:val="22"/>
        </w:rPr>
        <w:t>Every nonzero threshold ε within the admissible regime admits a strictly positive decisive precision.</w:t>
      </w:r>
    </w:p>
    <w:p>
      <w:pPr>
        <w:keepLines/>
        <w:spacing w:before="0" w:after="160" w:line="300" w:lineRule="auto"/>
        <w:jc w:val="both"/>
      </w:pPr>
      <w:r>
        <w:rPr>
          <w:rFonts w:ascii="Calibri" w:hAnsi="Calibri" w:eastAsia="Calibri"/>
          <w:b/>
          <w:color w:val="8A2734"/>
          <w:sz w:val="22"/>
        </w:rPr>
        <w:t xml:space="preserve">Boundary. </w:t>
      </w:r>
      <w:r>
        <w:rPr>
          <w:rFonts w:ascii="Calibri" w:hAnsi="Calibri" w:eastAsia="Calibri"/>
          <w:color w:val="15212B"/>
          <w:sz w:val="22"/>
        </w:rPr>
        <w:t>Existence of a mathematical tolerance does not establish that an instrument can attain it or that omitted systematics are smaller than it.</w:t>
      </w:r>
    </w:p>
    <w:p>
      <w:r>
        <w:br w:type="page"/>
      </w:r>
    </w:p>
    <w:p>
      <w:pPr>
        <w:spacing w:before="0" w:after="0" w:line="20" w:lineRule="exact"/>
      </w:pPr>
      <w:r>
        <w:rPr>
          <w:rFonts w:ascii="Calibri" w:hAnsi="Calibri" w:eastAsia="Calibri"/>
          <w:color w:val="FFFFFF"/>
          <w:sz w:val="2"/>
        </w:rPr>
        <w:t xml:space="preserve"> </w:t>
      </w:r>
    </w:p>
    <w:p>
      <w:pPr>
        <w:pStyle w:val="Heading1"/>
      </w:pPr>
      <w:r>
        <w:t>5. ME-056 rotating-Friedmann consequences</w:t>
      </w:r>
    </w:p>
    <w:p>
      <w:pPr>
        <w:keepNext w:val="0"/>
        <w:keepLines/>
        <w:spacing w:before="0" w:line="320" w:lineRule="auto"/>
      </w:pPr>
      <w:r>
        <w:rPr>
          <w:rFonts w:ascii="Calibri" w:hAnsi="Calibri" w:eastAsia="Calibri"/>
          <w:b w:val="0"/>
          <w:i w:val="0"/>
          <w:color w:val="15212B"/>
        </w:rPr>
        <w:t>The ME-056 portion begins with two definitions. The baseline expression is denoted friedmannLCDM, and the EFMW expression adds ΩU²/a². Because division in Lean is total, the deviation identity is syntactically valid for all real a; the observational bound and exact-zero result explicitly assume a ≠ 0 so that a² is positive and order-preserving multiplication is valid.</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rPr>
          <w:cantSplit/>
        </w:trPr>
        <w:tc>
          <w:tcPr>
            <w:tcW w:type="dxa" w:w="9360"/>
            <w:tcMar>
              <w:top w:w="80" w:type="dxa"/>
              <w:start w:w="120" w:type="dxa"/>
              <w:bottom w:w="80" w:type="dxa"/>
              <w:end w:w="120" w:type="dxa"/>
            </w:tcMar>
            <w:vAlign w:val="center"/>
            <w:shd w:fill="F8FAFC"/>
          </w:tcPr>
          <w:p>
            <w:pPr>
              <w:spacing w:before="60" w:after="60" w:line="264" w:lineRule="auto"/>
              <w:jc w:val="center"/>
            </w:pPr>
            <w:r>
              <w:rPr>
                <w:rFonts w:ascii="Cambria Math" w:hAnsi="Cambria Math" w:eastAsia="Cambria Math"/>
                <w:color w:val="203748"/>
                <w:sz w:val="21"/>
              </w:rPr>
              <w:t>F_LCDM(G,ρ,Λ,k,a) = (8πG/3)ρ + Λ/3 − k/a²</w:t>
            </w:r>
          </w:p>
        </w:tc>
      </w:tr>
    </w:tbl>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rPr>
          <w:cantSplit/>
        </w:trPr>
        <w:tc>
          <w:tcPr>
            <w:tcW w:type="dxa" w:w="9360"/>
            <w:tcMar>
              <w:top w:w="80" w:type="dxa"/>
              <w:start w:w="120" w:type="dxa"/>
              <w:bottom w:w="80" w:type="dxa"/>
              <w:end w:w="120" w:type="dxa"/>
            </w:tcMar>
            <w:vAlign w:val="center"/>
            <w:shd w:fill="F8FAFC"/>
          </w:tcPr>
          <w:p>
            <w:pPr>
              <w:spacing w:before="60" w:after="60" w:line="264" w:lineRule="auto"/>
              <w:jc w:val="center"/>
            </w:pPr>
            <w:r>
              <w:rPr>
                <w:rFonts w:ascii="Cambria Math" w:hAnsi="Cambria Math" w:eastAsia="Cambria Math"/>
                <w:color w:val="203748"/>
                <w:sz w:val="21"/>
              </w:rPr>
              <w:t>F_EFMW(G,ρ,Λ,k,a,ΩU) = F_LCDM(G,ρ,Λ,k,a) + ΩU²/a²</w:t>
            </w:r>
          </w:p>
        </w:tc>
      </w:tr>
    </w:tbl>
    <w:p>
      <w:pPr>
        <w:pStyle w:val="Heading3"/>
        <w:keepNext/>
        <w:pageBreakBefore w:val="0"/>
      </w:pPr>
      <w:r>
        <w:rPr>
          <w:rFonts w:ascii="Calibri" w:hAnsi="Calibri" w:eastAsia="Calibri"/>
          <w:b/>
          <w:color w:val="1F4D78"/>
          <w:sz w:val="24"/>
        </w:rPr>
        <w:t>Theorem IV.18 — ME056.friedmann_deviation</w:t>
      </w:r>
    </w:p>
    <w:tbl>
      <w:tblPr>
        <w:tblW w:type="dxa" w:w="9360"/>
        <w:jc w:val="left"/>
        <w:tblLayout w:type="fixed"/>
        <w:tblLook w:firstColumn="1" w:firstRow="1" w:lastColumn="0" w:lastRow="0" w:noHBand="0" w:noVBand="1" w:val="04A0"/>
        <w:tblInd w:w="120" w:type="dxa"/>
        <w:tblBorders>
          <w:top w:val="single" w:sz="7" w:space="0" w:color="B8C4D2"/>
          <w:left w:val="single" w:sz="7" w:space="0" w:color="B8C4D2"/>
          <w:bottom w:val="single" w:sz="7" w:space="0" w:color="B8C4D2"/>
          <w:right w:val="single" w:sz="7" w:space="0" w:color="B8C4D2"/>
          <w:insideH w:val="single" w:sz="7" w:space="0" w:color="B8C4D2"/>
          <w:insideV w:val="single" w:sz="7" w:space="0" w:color="B8C4D2"/>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pPr>
            <w:r>
              <w:rPr>
                <w:rFonts w:ascii="Calibri" w:hAnsi="Calibri" w:eastAsia="Calibri"/>
                <w:b/>
                <w:color w:val="203748"/>
                <w:sz w:val="19"/>
              </w:rPr>
              <w:t xml:space="preserve">FORMAL STATEMENT. </w:t>
            </w:r>
            <w:r>
              <w:rPr>
                <w:rFonts w:ascii="Cambria Math" w:hAnsi="Cambria Math" w:eastAsia="Cambria Math"/>
                <w:color w:val="15212B"/>
                <w:sz w:val="20"/>
              </w:rPr>
              <w:t>For all real G, ρ, Λ, k, a, ΩU, F_EFMW − F_LCDM = ΩU²/a².</w:t>
            </w:r>
          </w:p>
        </w:tc>
      </w:tr>
    </w:tbl>
    <w:p>
      <w:pPr>
        <w:keepLines/>
        <w:spacing w:before="100" w:after="120" w:line="300" w:lineRule="auto"/>
        <w:jc w:val="both"/>
      </w:pPr>
      <w:r>
        <w:rPr>
          <w:rFonts w:ascii="Calibri" w:hAnsi="Calibri" w:eastAsia="Calibri"/>
          <w:b/>
          <w:color w:val="203748"/>
          <w:sz w:val="22"/>
        </w:rPr>
        <w:t xml:space="preserve">Proof. </w:t>
      </w:r>
      <w:r>
        <w:rPr>
          <w:rFonts w:ascii="Calibri" w:hAnsi="Calibri" w:eastAsia="Calibri"/>
          <w:color w:val="15212B"/>
          <w:sz w:val="22"/>
        </w:rPr>
        <w:t>Unfold friedmannEFMW. The baseline term cancels, leaving precisely the added residual-rotation term.</w:t>
      </w:r>
    </w:p>
    <w:p>
      <w:pPr>
        <w:keepLines/>
        <w:spacing w:before="0" w:after="120" w:line="300" w:lineRule="auto"/>
        <w:jc w:val="both"/>
      </w:pPr>
      <w:r>
        <w:rPr>
          <w:rFonts w:ascii="Calibri" w:hAnsi="Calibri" w:eastAsia="Calibri"/>
          <w:b/>
          <w:color w:val="203748"/>
          <w:sz w:val="22"/>
        </w:rPr>
        <w:t xml:space="preserve">Interpretation. </w:t>
      </w:r>
      <w:r>
        <w:rPr>
          <w:rFonts w:ascii="Calibri" w:hAnsi="Calibri" w:eastAsia="Calibri"/>
          <w:color w:val="15212B"/>
          <w:sz w:val="22"/>
        </w:rPr>
        <w:t>This lemma records the exact algebraic deviation introduced by the ME-056 definition.</w:t>
      </w:r>
    </w:p>
    <w:p>
      <w:pPr>
        <w:keepLines/>
        <w:spacing w:before="0" w:after="160" w:line="300" w:lineRule="auto"/>
        <w:jc w:val="both"/>
      </w:pPr>
      <w:r>
        <w:rPr>
          <w:rFonts w:ascii="Calibri" w:hAnsi="Calibri" w:eastAsia="Calibri"/>
          <w:b/>
          <w:color w:val="8A2734"/>
          <w:sz w:val="22"/>
        </w:rPr>
        <w:t xml:space="preserve">Boundary. </w:t>
      </w:r>
      <w:r>
        <w:rPr>
          <w:rFonts w:ascii="Calibri" w:hAnsi="Calibri" w:eastAsia="Calibri"/>
          <w:color w:val="15212B"/>
          <w:sz w:val="22"/>
        </w:rPr>
        <w:t>It is a definitional consequence, not a derivation of the extension from Einstein’s equations or a rotating metric.</w:t>
      </w:r>
    </w:p>
    <w:p>
      <w:pPr>
        <w:pStyle w:val="Heading3"/>
        <w:keepNext/>
        <w:pageBreakBefore w:val="0"/>
      </w:pPr>
      <w:r>
        <w:rPr>
          <w:rFonts w:ascii="Calibri" w:hAnsi="Calibri" w:eastAsia="Calibri"/>
          <w:b/>
          <w:color w:val="1F4D78"/>
          <w:sz w:val="24"/>
        </w:rPr>
        <w:t>Theorem IV.19 — ME056.OmegaU_sq_le_of_hubble_measurement</w:t>
      </w:r>
    </w:p>
    <w:tbl>
      <w:tblPr>
        <w:tblW w:type="dxa" w:w="9360"/>
        <w:jc w:val="left"/>
        <w:tblLayout w:type="fixed"/>
        <w:tblLook w:firstColumn="1" w:firstRow="1" w:lastColumn="0" w:lastRow="0" w:noHBand="0" w:noVBand="1" w:val="04A0"/>
        <w:tblInd w:w="120" w:type="dxa"/>
        <w:tblBorders>
          <w:top w:val="single" w:sz="7" w:space="0" w:color="B8C4D2"/>
          <w:left w:val="single" w:sz="7" w:space="0" w:color="B8C4D2"/>
          <w:bottom w:val="single" w:sz="7" w:space="0" w:color="B8C4D2"/>
          <w:right w:val="single" w:sz="7" w:space="0" w:color="B8C4D2"/>
          <w:insideH w:val="single" w:sz="7" w:space="0" w:color="B8C4D2"/>
          <w:insideV w:val="single" w:sz="7" w:space="0" w:color="B8C4D2"/>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pPr>
            <w:r>
              <w:rPr>
                <w:rFonts w:ascii="Calibri" w:hAnsi="Calibri" w:eastAsia="Calibri"/>
                <w:b/>
                <w:color w:val="203748"/>
                <w:sz w:val="19"/>
              </w:rPr>
              <w:t xml:space="preserve">FORMAL STATEMENT. </w:t>
            </w:r>
            <w:r>
              <w:rPr>
                <w:rFonts w:ascii="Cambria Math" w:hAnsi="Cambria Math" w:eastAsia="Cambria Math"/>
                <w:color w:val="15212B"/>
                <w:sz w:val="20"/>
              </w:rPr>
              <w:t>Assume a ≠ 0 and |F_EFMW − F_LCDM| ≤ δ. Then ΩU² ≤ δa².</w:t>
            </w:r>
          </w:p>
        </w:tc>
      </w:tr>
    </w:tbl>
    <w:p>
      <w:pPr>
        <w:keepLines/>
        <w:spacing w:before="100" w:after="120" w:line="300" w:lineRule="auto"/>
        <w:jc w:val="both"/>
      </w:pPr>
      <w:r>
        <w:rPr>
          <w:rFonts w:ascii="Calibri" w:hAnsi="Calibri" w:eastAsia="Calibri"/>
          <w:b/>
          <w:color w:val="203748"/>
          <w:sz w:val="22"/>
        </w:rPr>
        <w:t xml:space="preserve">Proof. </w:t>
      </w:r>
      <w:r>
        <w:rPr>
          <w:rFonts w:ascii="Calibri" w:hAnsi="Calibri" w:eastAsia="Calibri"/>
          <w:color w:val="15212B"/>
          <w:sz w:val="22"/>
        </w:rPr>
        <w:t>Rewrite the deviation using Theorem IV.18. Since a ≠ 0, a² &gt; 0. The upper half of the absolute-value bound gives ΩU²/a² ≤ δ. Multiplication by the positive a² yields ΩU² ≤ δa².</w:t>
      </w:r>
    </w:p>
    <w:p>
      <w:pPr>
        <w:keepLines/>
        <w:spacing w:before="0" w:after="120" w:line="300" w:lineRule="auto"/>
        <w:jc w:val="both"/>
      </w:pPr>
      <w:r>
        <w:rPr>
          <w:rFonts w:ascii="Calibri" w:hAnsi="Calibri" w:eastAsia="Calibri"/>
          <w:b/>
          <w:color w:val="203748"/>
          <w:sz w:val="22"/>
        </w:rPr>
        <w:t xml:space="preserve">Interpretation. </w:t>
      </w:r>
      <w:r>
        <w:rPr>
          <w:rFonts w:ascii="Calibri" w:hAnsi="Calibri" w:eastAsia="Calibri"/>
          <w:color w:val="15212B"/>
          <w:sz w:val="22"/>
        </w:rPr>
        <w:t>A finite upper tolerance on the modeled deviation produces a scale-dependent bound on residual rotation.</w:t>
      </w:r>
    </w:p>
    <w:p>
      <w:pPr>
        <w:keepLines/>
        <w:spacing w:before="0" w:after="160" w:line="300" w:lineRule="auto"/>
        <w:jc w:val="both"/>
      </w:pPr>
      <w:r>
        <w:rPr>
          <w:rFonts w:ascii="Calibri" w:hAnsi="Calibri" w:eastAsia="Calibri"/>
          <w:b/>
          <w:color w:val="8A2734"/>
          <w:sz w:val="22"/>
        </w:rPr>
        <w:t xml:space="preserve">Boundary. </w:t>
      </w:r>
      <w:r>
        <w:rPr>
          <w:rFonts w:ascii="Calibri" w:hAnsi="Calibri" w:eastAsia="Calibri"/>
          <w:color w:val="15212B"/>
          <w:sz w:val="22"/>
        </w:rPr>
        <w:t>The result does not identify δ with a confidence level or incorporate covariance among cosmological parameters.</w:t>
      </w:r>
    </w:p>
    <w:p>
      <w:r>
        <w:br w:type="page"/>
      </w:r>
    </w:p>
    <w:p>
      <w:pPr>
        <w:spacing w:before="0" w:after="0" w:line="20" w:lineRule="exact"/>
      </w:pPr>
      <w:r>
        <w:rPr>
          <w:rFonts w:ascii="Calibri" w:hAnsi="Calibri" w:eastAsia="Calibri"/>
          <w:color w:val="FFFFFF"/>
          <w:sz w:val="2"/>
        </w:rPr>
        <w:t xml:space="preserve"> </w:t>
      </w:r>
    </w:p>
    <w:p>
      <w:pPr>
        <w:pStyle w:val="Heading3"/>
        <w:keepNext/>
        <w:pageBreakBefore w:val="0"/>
      </w:pPr>
      <w:r>
        <w:rPr>
          <w:rFonts w:ascii="Calibri" w:hAnsi="Calibri" w:eastAsia="Calibri"/>
          <w:b/>
          <w:color w:val="1F4D78"/>
          <w:sz w:val="24"/>
        </w:rPr>
        <w:t>Theorem IV.20 — ME056.OmegaU_eq_zero_of_exact_hubble</w:t>
      </w:r>
    </w:p>
    <w:tbl>
      <w:tblPr>
        <w:tblW w:type="dxa" w:w="9360"/>
        <w:jc w:val="left"/>
        <w:tblLayout w:type="fixed"/>
        <w:tblLook w:firstColumn="1" w:firstRow="1" w:lastColumn="0" w:lastRow="0" w:noHBand="0" w:noVBand="1" w:val="04A0"/>
        <w:tblInd w:w="120" w:type="dxa"/>
        <w:tblBorders>
          <w:top w:val="single" w:sz="7" w:space="0" w:color="B8C4D2"/>
          <w:left w:val="single" w:sz="7" w:space="0" w:color="B8C4D2"/>
          <w:bottom w:val="single" w:sz="7" w:space="0" w:color="B8C4D2"/>
          <w:right w:val="single" w:sz="7" w:space="0" w:color="B8C4D2"/>
          <w:insideH w:val="single" w:sz="7" w:space="0" w:color="B8C4D2"/>
          <w:insideV w:val="single" w:sz="7" w:space="0" w:color="B8C4D2"/>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pPr>
            <w:r>
              <w:rPr>
                <w:rFonts w:ascii="Calibri" w:hAnsi="Calibri" w:eastAsia="Calibri"/>
                <w:b/>
                <w:color w:val="203748"/>
                <w:sz w:val="19"/>
              </w:rPr>
              <w:t xml:space="preserve">FORMAL STATEMENT. </w:t>
            </w:r>
            <w:r>
              <w:rPr>
                <w:rFonts w:ascii="Cambria Math" w:hAnsi="Cambria Math" w:eastAsia="Cambria Math"/>
                <w:color w:val="15212B"/>
                <w:sz w:val="20"/>
              </w:rPr>
              <w:t>Assume a ≠ 0 and F_EFMW = F_LCDM. Then ΩU = 0.</w:t>
            </w:r>
          </w:p>
        </w:tc>
      </w:tr>
    </w:tbl>
    <w:p>
      <w:pPr>
        <w:keepLines/>
        <w:spacing w:before="100" w:after="120" w:line="300" w:lineRule="auto"/>
        <w:jc w:val="both"/>
      </w:pPr>
      <w:r>
        <w:rPr>
          <w:rFonts w:ascii="Calibri" w:hAnsi="Calibri" w:eastAsia="Calibri"/>
          <w:b/>
          <w:color w:val="203748"/>
          <w:sz w:val="22"/>
        </w:rPr>
        <w:t xml:space="preserve">Proof. </w:t>
      </w:r>
      <w:r>
        <w:rPr>
          <w:rFonts w:ascii="Calibri" w:hAnsi="Calibri" w:eastAsia="Calibri"/>
          <w:color w:val="15212B"/>
          <w:sz w:val="22"/>
        </w:rPr>
        <w:t>Apply Theorem IV.19 with δ = 0. This gives ΩU² ≤ 0. Since every real square is nonnegative, ΩU² = 0 and therefore ΩU = 0.</w:t>
      </w:r>
    </w:p>
    <w:p>
      <w:pPr>
        <w:keepLines/>
        <w:spacing w:before="0" w:after="120" w:line="300" w:lineRule="auto"/>
        <w:jc w:val="both"/>
      </w:pPr>
      <w:r>
        <w:rPr>
          <w:rFonts w:ascii="Calibri" w:hAnsi="Calibri" w:eastAsia="Calibri"/>
          <w:b/>
          <w:color w:val="203748"/>
          <w:sz w:val="22"/>
        </w:rPr>
        <w:t xml:space="preserve">Interpretation. </w:t>
      </w:r>
      <w:r>
        <w:rPr>
          <w:rFonts w:ascii="Calibri" w:hAnsi="Calibri" w:eastAsia="Calibri"/>
          <w:color w:val="15212B"/>
          <w:sz w:val="22"/>
        </w:rPr>
        <w:t>Exact agreement forces vanishing residual rotation within the stated ME-056 model.</w:t>
      </w:r>
    </w:p>
    <w:p>
      <w:pPr>
        <w:keepLines/>
        <w:spacing w:before="0" w:after="160" w:line="300" w:lineRule="auto"/>
        <w:jc w:val="both"/>
      </w:pPr>
      <w:r>
        <w:rPr>
          <w:rFonts w:ascii="Calibri" w:hAnsi="Calibri" w:eastAsia="Calibri"/>
          <w:b/>
          <w:color w:val="8A2734"/>
          <w:sz w:val="22"/>
        </w:rPr>
        <w:t xml:space="preserve">Boundary. </w:t>
      </w:r>
      <w:r>
        <w:rPr>
          <w:rFonts w:ascii="Calibri" w:hAnsi="Calibri" w:eastAsia="Calibri"/>
          <w:color w:val="15212B"/>
          <w:sz w:val="22"/>
        </w:rPr>
        <w:t>Finite observations normally invoke Theorem IV.19, not this exact-equality idealization.</w:t>
      </w:r>
    </w:p>
    <w:p>
      <w:pPr>
        <w:pStyle w:val="Heading1"/>
      </w:pPr>
      <w:r>
        <w:t>6. The physical-test asymmetry</w:t>
      </w:r>
    </w:p>
    <w:p>
      <w:pPr>
        <w:pStyle w:val="Heading3"/>
        <w:keepNext/>
        <w:pageBreakBefore w:val="0"/>
      </w:pPr>
      <w:r>
        <w:rPr>
          <w:rFonts w:ascii="Calibri" w:hAnsi="Calibri" w:eastAsia="Calibri"/>
          <w:b/>
          <w:color w:val="1F4D78"/>
          <w:sz w:val="24"/>
        </w:rPr>
        <w:t>Theorem IV.21 — physical_test_asymmetry</w:t>
      </w:r>
    </w:p>
    <w:tbl>
      <w:tblPr>
        <w:tblW w:type="dxa" w:w="9360"/>
        <w:jc w:val="left"/>
        <w:tblLayout w:type="fixed"/>
        <w:tblLook w:firstColumn="1" w:firstRow="1" w:lastColumn="0" w:lastRow="0" w:noHBand="0" w:noVBand="1" w:val="04A0"/>
        <w:tblInd w:w="120" w:type="dxa"/>
        <w:tblBorders>
          <w:top w:val="single" w:sz="7" w:space="0" w:color="B8C4D2"/>
          <w:left w:val="single" w:sz="7" w:space="0" w:color="B8C4D2"/>
          <w:bottom w:val="single" w:sz="7" w:space="0" w:color="B8C4D2"/>
          <w:right w:val="single" w:sz="7" w:space="0" w:color="B8C4D2"/>
          <w:insideH w:val="single" w:sz="7" w:space="0" w:color="B8C4D2"/>
          <w:insideV w:val="single" w:sz="7" w:space="0" w:color="B8C4D2"/>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76" w:lineRule="auto"/>
            </w:pPr>
            <w:r>
              <w:rPr>
                <w:rFonts w:ascii="Calibri" w:hAnsi="Calibri" w:eastAsia="Calibri"/>
                <w:b/>
                <w:color w:val="203748"/>
                <w:sz w:val="19"/>
              </w:rPr>
              <w:t xml:space="preserve">FORMAL STATEMENT. </w:t>
            </w:r>
            <w:r>
              <w:rPr>
                <w:rFonts w:ascii="Cambria Math" w:hAnsi="Cambria Math" w:eastAsia="Cambria Math"/>
                <w:color w:val="15212B"/>
                <w:sz w:val="20"/>
              </w:rPr>
              <w:t>Under c &gt; 0, ε &gt; 0, ε² &lt; 1, α² &lt; 1, and ε ≤ |α|, both of the following hold: (i) some p &gt; 0 discriminates α = 0 from α for every reading r; and (ii) for every finite list D and θ₀, continuity of all observables at θ₀ plus strict compatibility at θ₀ imply the existence of θ ≠ θ₀ compatible with all of D.</w:t>
            </w:r>
          </w:p>
        </w:tc>
      </w:tr>
    </w:tbl>
    <w:p>
      <w:pPr>
        <w:keepLines/>
        <w:spacing w:before="100" w:after="120" w:line="300" w:lineRule="auto"/>
        <w:jc w:val="both"/>
      </w:pPr>
      <w:r>
        <w:rPr>
          <w:rFonts w:ascii="Calibri" w:hAnsi="Calibri" w:eastAsia="Calibri"/>
          <w:b/>
          <w:color w:val="203748"/>
          <w:sz w:val="22"/>
        </w:rPr>
        <w:t xml:space="preserve">Proof. </w:t>
      </w:r>
      <w:r>
        <w:rPr>
          <w:rFonts w:ascii="Calibri" w:hAnsi="Calibri" w:eastAsia="Calibri"/>
          <w:color w:val="15212B"/>
          <w:sz w:val="22"/>
        </w:rPr>
        <w:t>The first conjunct is Theorem IV.17. The second conjunct is Theorem IV.3 instantiated for arbitrary D and θ₀. Pair the two proof terms.</w:t>
      </w:r>
    </w:p>
    <w:p>
      <w:pPr>
        <w:keepLines/>
        <w:spacing w:before="0" w:after="120" w:line="300" w:lineRule="auto"/>
        <w:jc w:val="both"/>
      </w:pPr>
      <w:r>
        <w:rPr>
          <w:rFonts w:ascii="Calibri" w:hAnsi="Calibri" w:eastAsia="Calibri"/>
          <w:b/>
          <w:color w:val="203748"/>
          <w:sz w:val="22"/>
        </w:rPr>
        <w:t xml:space="preserve">Interpretation. </w:t>
      </w:r>
      <w:r>
        <w:rPr>
          <w:rFonts w:ascii="Calibri" w:hAnsi="Calibri" w:eastAsia="Calibri"/>
          <w:color w:val="15212B"/>
          <w:sz w:val="22"/>
        </w:rPr>
        <w:t>The formal theory admits decisive refutations at adequate precision while denying that finite strict-fit data alone constitute deductive verification of one exact continuous parameter.</w:t>
      </w:r>
    </w:p>
    <w:p>
      <w:pPr>
        <w:keepLines/>
        <w:spacing w:before="0" w:after="160" w:line="300" w:lineRule="auto"/>
        <w:jc w:val="both"/>
      </w:pPr>
      <w:r>
        <w:rPr>
          <w:rFonts w:ascii="Calibri" w:hAnsi="Calibri" w:eastAsia="Calibri"/>
          <w:b/>
          <w:color w:val="8A2734"/>
          <w:sz w:val="22"/>
        </w:rPr>
        <w:t xml:space="preserve">Boundary. </w:t>
      </w:r>
      <w:r>
        <w:rPr>
          <w:rFonts w:ascii="Calibri" w:hAnsi="Calibri" w:eastAsia="Calibri"/>
          <w:color w:val="15212B"/>
          <w:sz w:val="22"/>
        </w:rPr>
        <w:t>The conjuncts concern different logical tasks. Discrimination separates two hypotheses by prediction distance; non-identification concerns local alternatives around a strictly compatible parameter.</w:t>
      </w:r>
    </w:p>
    <w:p>
      <w:r>
        <w:br w:type="page"/>
      </w:r>
    </w:p>
    <w:p>
      <w:pPr>
        <w:spacing w:before="0" w:after="0" w:line="20" w:lineRule="exact"/>
      </w:pPr>
      <w:r>
        <w:rPr>
          <w:rFonts w:ascii="Calibri" w:hAnsi="Calibri" w:eastAsia="Calibri"/>
          <w:color w:val="FFFFFF"/>
          <w:sz w:val="2"/>
        </w:rPr>
        <w:t xml:space="preserve"> </w:t>
      </w:r>
    </w:p>
    <w:p>
      <w:pPr>
        <w:pStyle w:val="Heading1"/>
      </w:pPr>
      <w:r>
        <w:t>7. Consequences, falsifiers, and limits</w:t>
      </w:r>
    </w:p>
    <w:p>
      <w:pPr>
        <w:pStyle w:val="Heading2"/>
      </w:pPr>
      <w:r>
        <w:t>7.1 What is established</w:t>
      </w:r>
    </w:p>
    <w:p>
      <w:pPr>
        <w:keepNext w:val="0"/>
        <w:keepLines/>
        <w:spacing w:before="0" w:line="320" w:lineRule="auto"/>
      </w:pPr>
      <w:r>
        <w:rPr>
          <w:rFonts w:ascii="Calibri" w:hAnsi="Calibri" w:eastAsia="Calibri"/>
          <w:b w:val="0"/>
          <w:i w:val="0"/>
          <w:color w:val="15212B"/>
        </w:rPr>
        <w:t>The tranche establishes four kinds of mathematical consequence. First, strict compatibility of finitely many continuous observables is locally stable. Second, sufficiently separated predictions are mutually incompatible with one finite-precision reading. Third, the assumed scalar phase-speed law has a well-controlled admissible branch, explicit null-result bounds, and constructive discriminating precisions. Fourth, the defined ME-056 extension has an exact residual term and corresponding parameter bounds.</w:t>
      </w:r>
    </w:p>
    <w:p>
      <w:pPr>
        <w:pStyle w:val="Heading2"/>
      </w:pPr>
      <w:r>
        <w:t>7.2 Formal falsifiers</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100"/>
        <w:gridCol w:w="3000"/>
        <w:gridCol w:w="4260"/>
      </w:tblGrid>
      <w:tr>
        <w:trPr>
          <w:cantSplit/>
          <w:tblHeader w:val="true"/>
        </w:trPr>
        <w:tc>
          <w:tcPr>
            <w:tcW w:type="dxa" w:w="2100"/>
            <w:tcMar>
              <w:top w:w="80" w:type="dxa"/>
              <w:start w:w="120" w:type="dxa"/>
              <w:bottom w:w="80" w:type="dxa"/>
              <w:end w:w="120" w:type="dxa"/>
            </w:tcMar>
            <w:vAlign w:val="center"/>
            <w:shd w:fill="F4F6F9"/>
          </w:tcPr>
          <w:p>
            <w:pPr>
              <w:spacing w:after="0"/>
            </w:pPr>
            <w:r>
              <w:rPr>
                <w:rFonts w:ascii="Calibri" w:hAnsi="Calibri" w:eastAsia="Calibri"/>
                <w:b/>
                <w:color w:val="203748"/>
                <w:sz w:val="18"/>
              </w:rPr>
              <w:t>Claim</w:t>
            </w:r>
          </w:p>
        </w:tc>
        <w:tc>
          <w:tcPr>
            <w:tcW w:type="dxa" w:w="3000"/>
            <w:tcMar>
              <w:top w:w="80" w:type="dxa"/>
              <w:start w:w="120" w:type="dxa"/>
              <w:bottom w:w="80" w:type="dxa"/>
              <w:end w:w="120" w:type="dxa"/>
            </w:tcMar>
            <w:vAlign w:val="center"/>
            <w:shd w:fill="F4F6F9"/>
          </w:tcPr>
          <w:p>
            <w:pPr>
              <w:spacing w:after="0"/>
            </w:pPr>
            <w:r>
              <w:rPr>
                <w:rFonts w:ascii="Calibri" w:hAnsi="Calibri" w:eastAsia="Calibri"/>
                <w:b/>
                <w:color w:val="203748"/>
                <w:sz w:val="18"/>
              </w:rPr>
              <w:t>Required premises</w:t>
            </w:r>
          </w:p>
        </w:tc>
        <w:tc>
          <w:tcPr>
            <w:tcW w:type="dxa" w:w="4260"/>
            <w:tcMar>
              <w:top w:w="80" w:type="dxa"/>
              <w:start w:w="120" w:type="dxa"/>
              <w:bottom w:w="80" w:type="dxa"/>
              <w:end w:w="120" w:type="dxa"/>
            </w:tcMar>
            <w:vAlign w:val="center"/>
            <w:shd w:fill="F4F6F9"/>
          </w:tcPr>
          <w:p>
            <w:pPr>
              <w:spacing w:after="0"/>
            </w:pPr>
            <w:r>
              <w:rPr>
                <w:rFonts w:ascii="Calibri" w:hAnsi="Calibri" w:eastAsia="Calibri"/>
                <w:b/>
                <w:color w:val="203748"/>
                <w:sz w:val="18"/>
              </w:rPr>
              <w:t>What would break the conclusion</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eastAsia="Calibri"/>
                <w:b/>
                <w:color w:val="15212B"/>
                <w:sz w:val="17"/>
              </w:rPr>
              <w:t>Local non-identification</w:t>
            </w:r>
          </w:p>
        </w:tc>
        <w:tc>
          <w:tcPr>
            <w:tcW w:type="dxa" w:w="3000"/>
            <w:tcMar>
              <w:top w:w="80" w:type="dxa"/>
              <w:start w:w="120" w:type="dxa"/>
              <w:bottom w:w="80" w:type="dxa"/>
              <w:end w:w="120" w:type="dxa"/>
            </w:tcMar>
            <w:vAlign w:val="center"/>
          </w:tcPr>
          <w:p>
            <w:pPr>
              <w:spacing w:after="0" w:line="252" w:lineRule="auto"/>
            </w:pPr>
            <w:r>
              <w:rPr>
                <w:rFonts w:ascii="Consolas" w:hAnsi="Consolas" w:eastAsia="Consolas"/>
                <w:b w:val="0"/>
                <w:color w:val="15212B"/>
                <w:sz w:val="17"/>
              </w:rPr>
              <w:t>Finite D; continuity; strict fit</w:t>
            </w:r>
          </w:p>
        </w:tc>
        <w:tc>
          <w:tcPr>
            <w:tcW w:type="dxa" w:w="4260"/>
            <w:tcMar>
              <w:top w:w="80" w:type="dxa"/>
              <w:start w:w="120" w:type="dxa"/>
              <w:bottom w:w="80" w:type="dxa"/>
              <w:end w:w="120" w:type="dxa"/>
            </w:tcMar>
            <w:vAlign w:val="center"/>
          </w:tcPr>
          <w:p>
            <w:pPr>
              <w:spacing w:after="0" w:line="252" w:lineRule="auto"/>
            </w:pPr>
            <w:r>
              <w:rPr>
                <w:rFonts w:ascii="Calibri" w:hAnsi="Calibri" w:eastAsia="Calibri"/>
                <w:b w:val="0"/>
                <w:color w:val="15212B"/>
                <w:sz w:val="17"/>
              </w:rPr>
              <w:t>Infinite constraints, discontinuity, boundary fit, or a non-real/discrete parameter space</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eastAsia="Calibri"/>
                <w:b/>
                <w:color w:val="15212B"/>
                <w:sz w:val="17"/>
              </w:rPr>
              <w:t>Scalar speed excess</w:t>
            </w:r>
          </w:p>
        </w:tc>
        <w:tc>
          <w:tcPr>
            <w:tcW w:type="dxa" w:w="3000"/>
            <w:tcMar>
              <w:top w:w="80" w:type="dxa"/>
              <w:start w:w="120" w:type="dxa"/>
              <w:bottom w:w="80" w:type="dxa"/>
              <w:end w:w="120" w:type="dxa"/>
            </w:tcMar>
            <w:vAlign w:val="center"/>
          </w:tcPr>
          <w:p>
            <w:pPr>
              <w:spacing w:after="0" w:line="252" w:lineRule="auto"/>
            </w:pPr>
            <w:r>
              <w:rPr>
                <w:rFonts w:ascii="Consolas" w:hAnsi="Consolas" w:eastAsia="Consolas"/>
                <w:b w:val="0"/>
                <w:color w:val="15212B"/>
                <w:sz w:val="17"/>
              </w:rPr>
              <w:t>c&gt;0; α²&lt;1; α≠0</w:t>
            </w:r>
          </w:p>
        </w:tc>
        <w:tc>
          <w:tcPr>
            <w:tcW w:type="dxa" w:w="4260"/>
            <w:tcMar>
              <w:top w:w="80" w:type="dxa"/>
              <w:start w:w="120" w:type="dxa"/>
              <w:bottom w:w="80" w:type="dxa"/>
              <w:end w:w="120" w:type="dxa"/>
            </w:tcMar>
            <w:vAlign w:val="center"/>
          </w:tcPr>
          <w:p>
            <w:pPr>
              <w:spacing w:after="0" w:line="252" w:lineRule="auto"/>
            </w:pPr>
            <w:r>
              <w:rPr>
                <w:rFonts w:ascii="Calibri" w:hAnsi="Calibri" w:eastAsia="Calibri"/>
                <w:b w:val="0"/>
                <w:color w:val="15212B"/>
                <w:sz w:val="17"/>
              </w:rPr>
              <w:t>Failure of the assumed phase-speed model or any stated premise</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eastAsia="Calibri"/>
                <w:b/>
                <w:color w:val="15212B"/>
                <w:sz w:val="17"/>
              </w:rPr>
              <w:t>Scalar α bound</w:t>
            </w:r>
          </w:p>
        </w:tc>
        <w:tc>
          <w:tcPr>
            <w:tcW w:type="dxa" w:w="3000"/>
            <w:tcMar>
              <w:top w:w="80" w:type="dxa"/>
              <w:start w:w="120" w:type="dxa"/>
              <w:bottom w:w="80" w:type="dxa"/>
              <w:end w:w="120" w:type="dxa"/>
            </w:tcMar>
            <w:vAlign w:val="center"/>
          </w:tcPr>
          <w:p>
            <w:pPr>
              <w:spacing w:after="0" w:line="252" w:lineRule="auto"/>
            </w:pPr>
            <w:r>
              <w:rPr>
                <w:rFonts w:ascii="Consolas" w:hAnsi="Consolas" w:eastAsia="Consolas"/>
                <w:b w:val="0"/>
                <w:color w:val="15212B"/>
                <w:sz w:val="17"/>
              </w:rPr>
              <w:t>Admissible regime; absolute speed tolerance</w:t>
            </w:r>
          </w:p>
        </w:tc>
        <w:tc>
          <w:tcPr>
            <w:tcW w:type="dxa" w:w="4260"/>
            <w:tcMar>
              <w:top w:w="80" w:type="dxa"/>
              <w:start w:w="120" w:type="dxa"/>
              <w:bottom w:w="80" w:type="dxa"/>
              <w:end w:w="120" w:type="dxa"/>
            </w:tcMar>
            <w:vAlign w:val="center"/>
          </w:tcPr>
          <w:p>
            <w:pPr>
              <w:spacing w:after="0" w:line="252" w:lineRule="auto"/>
            </w:pPr>
            <w:r>
              <w:rPr>
                <w:rFonts w:ascii="Calibri" w:hAnsi="Calibri" w:eastAsia="Calibri"/>
                <w:b w:val="0"/>
                <w:color w:val="15212B"/>
                <w:sz w:val="17"/>
              </w:rPr>
              <w:t>A different observable map, unmodeled systematics, or premise failure</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eastAsia="Calibri"/>
                <w:b/>
                <w:color w:val="15212B"/>
                <w:sz w:val="17"/>
              </w:rPr>
              <w:t>ME-056 ΩU bound</w:t>
            </w:r>
          </w:p>
        </w:tc>
        <w:tc>
          <w:tcPr>
            <w:tcW w:type="dxa" w:w="3000"/>
            <w:tcMar>
              <w:top w:w="80" w:type="dxa"/>
              <w:start w:w="120" w:type="dxa"/>
              <w:bottom w:w="80" w:type="dxa"/>
              <w:end w:w="120" w:type="dxa"/>
            </w:tcMar>
            <w:vAlign w:val="center"/>
          </w:tcPr>
          <w:p>
            <w:pPr>
              <w:spacing w:after="0" w:line="252" w:lineRule="auto"/>
            </w:pPr>
            <w:r>
              <w:rPr>
                <w:rFonts w:ascii="Consolas" w:hAnsi="Consolas" w:eastAsia="Consolas"/>
                <w:b w:val="0"/>
                <w:color w:val="15212B"/>
                <w:sz w:val="17"/>
              </w:rPr>
              <w:t>a≠0; absolute deviation tolerance</w:t>
            </w:r>
          </w:p>
        </w:tc>
        <w:tc>
          <w:tcPr>
            <w:tcW w:type="dxa" w:w="4260"/>
            <w:tcMar>
              <w:top w:w="80" w:type="dxa"/>
              <w:start w:w="120" w:type="dxa"/>
              <w:bottom w:w="80" w:type="dxa"/>
              <w:end w:w="120" w:type="dxa"/>
            </w:tcMar>
            <w:vAlign w:val="center"/>
          </w:tcPr>
          <w:p>
            <w:pPr>
              <w:spacing w:after="0" w:line="252" w:lineRule="auto"/>
            </w:pPr>
            <w:r>
              <w:rPr>
                <w:rFonts w:ascii="Calibri" w:hAnsi="Calibri" w:eastAsia="Calibri"/>
                <w:b w:val="0"/>
                <w:color w:val="15212B"/>
                <w:sz w:val="17"/>
              </w:rPr>
              <w:t>A different cosmological extension, parameter degeneracy outside the definition, or premise failure</w:t>
            </w:r>
          </w:p>
        </w:tc>
      </w:tr>
    </w:tbl>
    <w:p>
      <w:pPr>
        <w:spacing w:after="0"/>
      </w:pPr>
    </w:p>
    <w:p>
      <w:r>
        <w:br w:type="page"/>
      </w:r>
    </w:p>
    <w:p>
      <w:pPr>
        <w:spacing w:before="0" w:after="0" w:line="20" w:lineRule="exact"/>
      </w:pPr>
      <w:r>
        <w:rPr>
          <w:rFonts w:ascii="Calibri" w:hAnsi="Calibri" w:eastAsia="Calibri"/>
          <w:color w:val="FFFFFF"/>
          <w:sz w:val="2"/>
        </w:rPr>
        <w:t xml:space="preserve"> </w:t>
      </w:r>
    </w:p>
    <w:p>
      <w:pPr>
        <w:pStyle w:val="Heading2"/>
      </w:pPr>
      <w:r>
        <w:t>7.3 What is not established</w:t>
      </w:r>
    </w:p>
    <w:p>
      <w:pPr>
        <w:keepNext w:val="0"/>
        <w:keepLines/>
        <w:spacing w:before="0" w:line="320" w:lineRule="auto"/>
      </w:pPr>
      <w:r>
        <w:rPr>
          <w:rFonts w:ascii="Calibri" w:hAnsi="Calibri" w:eastAsia="Calibri"/>
          <w:b w:val="0"/>
          <w:i w:val="0"/>
          <w:color w:val="15212B"/>
        </w:rPr>
        <w:t>No theorem in this tranche proves that the EFMW equations describe nature, that the scalar phase speed is a measurable signal, that super-baseline phase propagation transmits information, that ME-056 follows from general relativity, or that observational data favor a nonzero α or ΩU. The development also does not address group velocity, signal velocity, causal cones, stability, energy conditions, gauge freedom, parameter covariance, units, likelihoods, priors, or instrument calibration. Those are separate mathematical or empirical obligations.</w:t>
      </w:r>
    </w:p>
    <w:p>
      <w:pPr>
        <w:keepNext w:val="0"/>
        <w:keepLines/>
        <w:spacing w:before="0" w:line="320" w:lineRule="auto"/>
      </w:pPr>
      <w:r>
        <w:rPr>
          <w:rFonts w:ascii="Calibri" w:hAnsi="Calibri" w:eastAsia="Calibri"/>
          <w:b w:val="0"/>
          <w:i w:val="0"/>
          <w:color w:val="15212B"/>
        </w:rPr>
        <w:t>In particular, phase speed exceeding c is not, by itself, a theorem about superluminal information transfer. The present results concern only the algebraic phase-speed function and its associated homogeneous relation. Any causal claim would require a formalized dynamical model and an analysis of signal propagation.</w:t>
      </w:r>
    </w:p>
    <w:p>
      <w:pPr>
        <w:pStyle w:val="Heading2"/>
      </w:pPr>
      <w:r>
        <w:t>7.4 Why exact equalities still matter</w:t>
      </w:r>
    </w:p>
    <w:p>
      <w:pPr>
        <w:keepNext w:val="0"/>
        <w:keepLines/>
        <w:spacing w:before="0" w:line="320" w:lineRule="auto"/>
      </w:pPr>
      <w:r>
        <w:rPr>
          <w:rFonts w:ascii="Calibri" w:hAnsi="Calibri" w:eastAsia="Calibri"/>
          <w:b w:val="0"/>
          <w:i w:val="0"/>
          <w:color w:val="15212B"/>
        </w:rPr>
        <w:t>The exact-zero theorems are useful as internal model checks even though finite experiments do not realize exact equality. They show that the map from α to phase speed and the map from ΩU to the ME-056 deviation have no hidden nonzero exact solutions under the stated assumptions. The finite-precision theorems then provide the experimentally relevant weakening: bounds replace exact identification.</w:t>
      </w:r>
    </w:p>
    <w:p>
      <w:pPr>
        <w:pStyle w:val="Heading1"/>
      </w:pPr>
      <w:r>
        <w:t>8. Reproducibility and audit</w:t>
      </w:r>
    </w:p>
    <w:p>
      <w:pPr>
        <w:keepNext w:val="0"/>
        <w:keepLines/>
        <w:spacing w:before="0" w:line="320" w:lineRule="auto"/>
      </w:pPr>
      <w:r>
        <w:rPr>
          <w:rFonts w:ascii="Calibri" w:hAnsi="Calibri" w:eastAsia="Calibri"/>
          <w:b w:val="0"/>
          <w:i w:val="0"/>
          <w:color w:val="15212B"/>
        </w:rPr>
        <w:t>The authoritative proof source is Monolithic102/TrancheIV.lean at Git commit 301a95ef94ba8888f62fb39a9df2e3533041dd9a. The project pins Lean 4.19.0 and Mathlib release 4.19.0 at commit c44e0c8ee63ca166450922a373c7409c5d26b00b. The recorded verification command is lake build; the full build passed 2,073 targets. The source-tree audit reports no sorry, admit, or explicit axiom declarations.</w:t>
      </w:r>
    </w:p>
    <w:p>
      <w:pPr>
        <w:keepNext w:val="0"/>
        <w:keepLines/>
        <w:spacing w:before="0" w:line="320" w:lineRule="auto"/>
      </w:pPr>
      <w:r>
        <w:rPr>
          <w:rFonts w:ascii="Calibri" w:hAnsi="Calibri" w:eastAsia="Calibri"/>
          <w:b w:val="0"/>
          <w:i w:val="0"/>
          <w:color w:val="15212B"/>
        </w:rPr>
        <w:t>Reproduction should use the pinned lean-toolchain and lake-manifest.json, then run the full build rather than compiling only the tranche file. A reviewer should also inspect the equation crosswalk and the theorem statements, because successful kernel checking validates the formal propositions but cannot detect a semantically unintended transcription.</w:t>
      </w:r>
    </w:p>
    <w:p>
      <w:r>
        <w:br w:type="page"/>
      </w:r>
    </w:p>
    <w:p>
      <w:pPr>
        <w:spacing w:before="0" w:after="0" w:line="20" w:lineRule="exact"/>
      </w:pPr>
      <w:r>
        <w:rPr>
          <w:rFonts w:ascii="Calibri" w:hAnsi="Calibri" w:eastAsia="Calibri"/>
          <w:color w:val="FFFFFF"/>
          <w:sz w:val="2"/>
        </w:rPr>
        <w:t xml:space="preserve"> </w:t>
      </w:r>
    </w:p>
    <w:p>
      <w:pPr>
        <w:pStyle w:val="Heading2"/>
      </w:pPr>
      <w:r>
        <w:t>8.1 Proof-dependency summary</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700"/>
        <w:gridCol w:w="6660"/>
      </w:tblGrid>
      <w:tr>
        <w:trPr>
          <w:cantSplit/>
          <w:tblHeader w:val="true"/>
        </w:trPr>
        <w:tc>
          <w:tcPr>
            <w:tcW w:type="dxa" w:w="2700"/>
            <w:tcMar>
              <w:top w:w="80" w:type="dxa"/>
              <w:start w:w="120" w:type="dxa"/>
              <w:bottom w:w="80" w:type="dxa"/>
              <w:end w:w="120" w:type="dxa"/>
            </w:tcMar>
            <w:vAlign w:val="center"/>
            <w:shd w:fill="F4F6F9"/>
          </w:tcPr>
          <w:p>
            <w:pPr>
              <w:spacing w:after="0"/>
            </w:pPr>
            <w:r>
              <w:rPr>
                <w:rFonts w:ascii="Calibri" w:hAnsi="Calibri" w:eastAsia="Calibri"/>
                <w:b/>
                <w:color w:val="203748"/>
                <w:sz w:val="19"/>
              </w:rPr>
              <w:t>Dependency chain</w:t>
            </w:r>
          </w:p>
        </w:tc>
        <w:tc>
          <w:tcPr>
            <w:tcW w:type="dxa" w:w="6660"/>
            <w:tcMar>
              <w:top w:w="80" w:type="dxa"/>
              <w:start w:w="120" w:type="dxa"/>
              <w:bottom w:w="80" w:type="dxa"/>
              <w:end w:w="120" w:type="dxa"/>
            </w:tcMar>
            <w:vAlign w:val="center"/>
            <w:shd w:fill="F4F6F9"/>
          </w:tcPr>
          <w:p>
            <w:pPr>
              <w:spacing w:after="0"/>
            </w:pPr>
            <w:r>
              <w:rPr>
                <w:rFonts w:ascii="Calibri" w:hAnsi="Calibri" w:eastAsia="Calibri"/>
                <w:b/>
                <w:color w:val="203748"/>
                <w:sz w:val="19"/>
              </w:rPr>
              <w:t>Function</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IV.1 → IV.2 → IV.3</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Strict compatibility weakens to compatibility; continuity gives a neighborhood; a punctured-neighborhood point proves non-identification</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IV.4 → IV.16 → IV.17</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Prediction separation gives discrimination; the scalar gap instantiates it; a quarter-gap precision proves existence</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IV.7–IV.10</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Square-root positivity supports the homogeneous-relation proof and uniqueness of the nonnegative branch</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IV.8 → IV.11 → IV.12–IV.14</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Denominator control gives speed ordering, strictness for nonzero coupling, the finite bound, and the exact-zero corollary</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IV.15 → IV.16</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Monotonic threshold gap provides uniform separation for |α| ≥ ε</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IV.18 → IV.19 → IV.20</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Deviation identity yields the finite ΩU bound and then the exact-zero limit</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b/>
                <w:color w:val="15212B"/>
                <w:sz w:val="18"/>
              </w:rPr>
              <w:t>IV.3 + IV.17 → IV.21</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b w:val="0"/>
                <w:color w:val="15212B"/>
                <w:sz w:val="18"/>
              </w:rPr>
              <w:t>The non-identification and discrimination results combine into the final asymmetry</w:t>
            </w:r>
          </w:p>
        </w:tc>
      </w:tr>
    </w:tbl>
    <w:p>
      <w:pPr>
        <w:spacing w:after="0"/>
      </w:pPr>
    </w:p>
    <w:p>
      <w:r>
        <w:br w:type="page"/>
      </w:r>
    </w:p>
    <w:p>
      <w:pPr>
        <w:spacing w:before="0" w:after="0" w:line="20" w:lineRule="exact"/>
      </w:pPr>
      <w:r>
        <w:rPr>
          <w:rFonts w:ascii="Calibri" w:hAnsi="Calibri" w:eastAsia="Calibri"/>
          <w:color w:val="FFFFFF"/>
          <w:sz w:val="2"/>
        </w:rPr>
        <w:t xml:space="preserve"> </w:t>
      </w:r>
    </w:p>
    <w:p>
      <w:pPr>
        <w:pStyle w:val="Heading1"/>
      </w:pPr>
      <w:r>
        <w:t>9. Conclusion</w:t>
      </w:r>
    </w:p>
    <w:p>
      <w:pPr>
        <w:keepNext w:val="0"/>
        <w:keepLines/>
        <w:spacing w:before="0" w:line="320" w:lineRule="auto"/>
      </w:pPr>
      <w:r>
        <w:rPr>
          <w:rFonts w:ascii="Calibri" w:hAnsi="Calibri" w:eastAsia="Calibri"/>
          <w:b w:val="0"/>
          <w:i w:val="0"/>
          <w:color w:val="15212B"/>
        </w:rPr>
        <w:t>Tranche IV converts the physical-testing discussion into twenty-one explicit, machine-checked theorems. The formal result is neither blanket skepticism nor empirical vindication. It is a disciplined separation of deductive roles: finite precision can exclude, discriminate, and bound; finite strict-fit data for continuous observables do not isolate one exact real parameter. Within the assumed ME-002/005 and ME-056 models, the same distinction yields concrete scalar-coupling and residual-rotation consequences.</w:t>
      </w:r>
    </w:p>
    <w:p>
      <w:pPr>
        <w:keepNext w:val="0"/>
        <w:keepLines/>
        <w:spacing w:before="0" w:line="320" w:lineRule="auto"/>
      </w:pPr>
      <w:r>
        <w:rPr>
          <w:rFonts w:ascii="Calibri" w:hAnsi="Calibri" w:eastAsia="Calibri"/>
          <w:b w:val="0"/>
          <w:i w:val="0"/>
          <w:color w:val="15212B"/>
        </w:rPr>
        <w:t>The tranche therefore advances the EFMW / Monolithic 102 program in the form most useful for continued formalization: every claim exposes its hypotheses, the equation bridges are narrow and auditable, and the empirical frontier is left visibly open. Future work should formalize the missing PDE and geometric derivations before enlarging the physical interpretation, and should introduce explicit statistical measurement models before attaching confidence claims to the deterministic bounds.</w:t>
      </w:r>
    </w:p>
    <w:p>
      <w:r>
        <w:br w:type="page"/>
      </w:r>
    </w:p>
    <w:p>
      <w:pPr>
        <w:spacing w:before="0" w:after="0" w:line="20" w:lineRule="exact"/>
      </w:pPr>
      <w:r>
        <w:rPr>
          <w:rFonts w:ascii="Calibri" w:hAnsi="Calibri" w:eastAsia="Calibri"/>
          <w:color w:val="FFFFFF"/>
          <w:sz w:val="2"/>
        </w:rPr>
        <w:t xml:space="preserve"> </w:t>
      </w:r>
    </w:p>
    <w:p>
      <w:pPr>
        <w:pStyle w:val="Heading1"/>
      </w:pPr>
      <w:r>
        <w:t>Appendix A. Complete Tranche IV theorem register</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650"/>
        <w:gridCol w:w="4670"/>
        <w:gridCol w:w="4040"/>
      </w:tblGrid>
      <w:tr>
        <w:trPr>
          <w:cantSplit/>
          <w:tblHeader w:val="true"/>
        </w:trPr>
        <w:tc>
          <w:tcPr>
            <w:tcW w:type="dxa" w:w="650"/>
            <w:tcMar>
              <w:top w:w="80" w:type="dxa"/>
              <w:start w:w="120" w:type="dxa"/>
              <w:bottom w:w="80" w:type="dxa"/>
              <w:end w:w="120" w:type="dxa"/>
            </w:tcMar>
            <w:vAlign w:val="center"/>
            <w:shd w:fill="F4F6F9"/>
          </w:tcPr>
          <w:p>
            <w:pPr>
              <w:spacing w:after="0"/>
            </w:pPr>
            <w:r>
              <w:rPr>
                <w:rFonts w:ascii="Calibri" w:hAnsi="Calibri" w:eastAsia="Calibri"/>
                <w:b/>
                <w:color w:val="203748"/>
                <w:sz w:val="18"/>
              </w:rPr>
              <w:t>No.</w:t>
            </w:r>
          </w:p>
        </w:tc>
        <w:tc>
          <w:tcPr>
            <w:tcW w:type="dxa" w:w="4670"/>
            <w:tcMar>
              <w:top w:w="80" w:type="dxa"/>
              <w:start w:w="120" w:type="dxa"/>
              <w:bottom w:w="80" w:type="dxa"/>
              <w:end w:w="120" w:type="dxa"/>
            </w:tcMar>
            <w:vAlign w:val="center"/>
            <w:shd w:fill="F4F6F9"/>
          </w:tcPr>
          <w:p>
            <w:pPr>
              <w:spacing w:after="0"/>
            </w:pPr>
            <w:r>
              <w:rPr>
                <w:rFonts w:ascii="Calibri" w:hAnsi="Calibri" w:eastAsia="Calibri"/>
                <w:b/>
                <w:color w:val="203748"/>
                <w:sz w:val="18"/>
              </w:rPr>
              <w:t>Lean declaration</w:t>
            </w:r>
          </w:p>
        </w:tc>
        <w:tc>
          <w:tcPr>
            <w:tcW w:type="dxa" w:w="4040"/>
            <w:tcMar>
              <w:top w:w="80" w:type="dxa"/>
              <w:start w:w="120" w:type="dxa"/>
              <w:bottom w:w="80" w:type="dxa"/>
              <w:end w:w="120" w:type="dxa"/>
            </w:tcMar>
            <w:vAlign w:val="center"/>
            <w:shd w:fill="F4F6F9"/>
          </w:tcPr>
          <w:p>
            <w:pPr>
              <w:spacing w:after="0"/>
            </w:pPr>
            <w:r>
              <w:rPr>
                <w:rFonts w:ascii="Calibri" w:hAnsi="Calibri" w:eastAsia="Calibri"/>
                <w:b/>
                <w:color w:val="203748"/>
                <w:sz w:val="18"/>
              </w:rPr>
              <w:t>Certified role</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Calibri"/>
                <w:b/>
                <w:color w:val="15212B"/>
                <w:sz w:val="16"/>
              </w:rPr>
              <w:t>1</w:t>
            </w:r>
          </w:p>
        </w:tc>
        <w:tc>
          <w:tcPr>
            <w:tcW w:type="dxa" w:w="4670"/>
            <w:tcMar>
              <w:top w:w="80" w:type="dxa"/>
              <w:start w:w="120" w:type="dxa"/>
              <w:bottom w:w="80" w:type="dxa"/>
              <w:end w:w="120" w:type="dxa"/>
            </w:tcMar>
            <w:vAlign w:val="center"/>
          </w:tcPr>
          <w:p>
            <w:pPr>
              <w:spacing w:after="0" w:line="252" w:lineRule="auto"/>
            </w:pPr>
            <w:r>
              <w:rPr>
                <w:rFonts w:ascii="Consolas" w:hAnsi="Consolas" w:eastAsia="Consolas"/>
                <w:b w:val="0"/>
                <w:color w:val="15212B"/>
                <w:sz w:val="15"/>
              </w:rPr>
              <w:t>Measurement.Compatible_of_strict</w:t>
            </w:r>
          </w:p>
        </w:tc>
        <w:tc>
          <w:tcPr>
            <w:tcW w:type="dxa" w:w="4040"/>
            <w:tcMar>
              <w:top w:w="80" w:type="dxa"/>
              <w:start w:w="120" w:type="dxa"/>
              <w:bottom w:w="80" w:type="dxa"/>
              <w:end w:w="120" w:type="dxa"/>
            </w:tcMar>
            <w:vAlign w:val="center"/>
          </w:tcPr>
          <w:p>
            <w:pPr>
              <w:spacing w:after="0" w:line="252" w:lineRule="auto"/>
            </w:pPr>
            <w:r>
              <w:rPr>
                <w:rFonts w:ascii="Calibri" w:hAnsi="Calibri" w:eastAsia="Calibri"/>
                <w:b w:val="0"/>
                <w:color w:val="15212B"/>
                <w:sz w:val="16"/>
              </w:rPr>
              <w:t>Strict compatibility implies compatibility.</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Calibri"/>
                <w:b/>
                <w:color w:val="15212B"/>
                <w:sz w:val="16"/>
              </w:rPr>
              <w:t>2</w:t>
            </w:r>
          </w:p>
        </w:tc>
        <w:tc>
          <w:tcPr>
            <w:tcW w:type="dxa" w:w="4670"/>
            <w:tcMar>
              <w:top w:w="80" w:type="dxa"/>
              <w:start w:w="120" w:type="dxa"/>
              <w:bottom w:w="80" w:type="dxa"/>
              <w:end w:w="120" w:type="dxa"/>
            </w:tcMar>
            <w:vAlign w:val="center"/>
          </w:tcPr>
          <w:p>
            <w:pPr>
              <w:spacing w:after="0" w:line="252" w:lineRule="auto"/>
            </w:pPr>
            <w:r>
              <w:rPr>
                <w:rFonts w:ascii="Consolas" w:hAnsi="Consolas" w:eastAsia="Consolas"/>
                <w:b w:val="0"/>
                <w:color w:val="15212B"/>
                <w:sz w:val="15"/>
              </w:rPr>
              <w:t>eventually_strictlyCompatible</w:t>
            </w:r>
          </w:p>
        </w:tc>
        <w:tc>
          <w:tcPr>
            <w:tcW w:type="dxa" w:w="4040"/>
            <w:tcMar>
              <w:top w:w="80" w:type="dxa"/>
              <w:start w:w="120" w:type="dxa"/>
              <w:bottom w:w="80" w:type="dxa"/>
              <w:end w:w="120" w:type="dxa"/>
            </w:tcMar>
            <w:vAlign w:val="center"/>
          </w:tcPr>
          <w:p>
            <w:pPr>
              <w:spacing w:after="0" w:line="252" w:lineRule="auto"/>
            </w:pPr>
            <w:r>
              <w:rPr>
                <w:rFonts w:ascii="Calibri" w:hAnsi="Calibri" w:eastAsia="Calibri"/>
                <w:b w:val="0"/>
                <w:color w:val="15212B"/>
                <w:sz w:val="16"/>
              </w:rPr>
              <w:t>Finite strict compatibility is locally stable for continuous observables.</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Calibri"/>
                <w:b/>
                <w:color w:val="15212B"/>
                <w:sz w:val="16"/>
              </w:rPr>
              <w:t>3</w:t>
            </w:r>
          </w:p>
        </w:tc>
        <w:tc>
          <w:tcPr>
            <w:tcW w:type="dxa" w:w="4670"/>
            <w:tcMar>
              <w:top w:w="80" w:type="dxa"/>
              <w:start w:w="120" w:type="dxa"/>
              <w:bottom w:w="80" w:type="dxa"/>
              <w:end w:w="120" w:type="dxa"/>
            </w:tcMar>
            <w:vAlign w:val="center"/>
          </w:tcPr>
          <w:p>
            <w:pPr>
              <w:spacing w:after="0" w:line="252" w:lineRule="auto"/>
            </w:pPr>
            <w:r>
              <w:rPr>
                <w:rFonts w:ascii="Consolas" w:hAnsi="Consolas" w:eastAsia="Consolas"/>
                <w:b w:val="0"/>
                <w:color w:val="15212B"/>
                <w:sz w:val="15"/>
              </w:rPr>
              <w:t>no_exact_parameter_verification</w:t>
            </w:r>
          </w:p>
        </w:tc>
        <w:tc>
          <w:tcPr>
            <w:tcW w:type="dxa" w:w="4040"/>
            <w:tcMar>
              <w:top w:w="80" w:type="dxa"/>
              <w:start w:w="120" w:type="dxa"/>
              <w:bottom w:w="80" w:type="dxa"/>
              <w:end w:w="120" w:type="dxa"/>
            </w:tcMar>
            <w:vAlign w:val="center"/>
          </w:tcPr>
          <w:p>
            <w:pPr>
              <w:spacing w:after="0" w:line="252" w:lineRule="auto"/>
            </w:pPr>
            <w:r>
              <w:rPr>
                <w:rFonts w:ascii="Calibri" w:hAnsi="Calibri" w:eastAsia="Calibri"/>
                <w:b w:val="0"/>
                <w:color w:val="15212B"/>
                <w:sz w:val="16"/>
              </w:rPr>
              <w:t>Finite strict-fit continuous data cannot isolate one real parameter.</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Calibri"/>
                <w:b/>
                <w:color w:val="15212B"/>
                <w:sz w:val="16"/>
              </w:rPr>
              <w:t>4</w:t>
            </w:r>
          </w:p>
        </w:tc>
        <w:tc>
          <w:tcPr>
            <w:tcW w:type="dxa" w:w="4670"/>
            <w:tcMar>
              <w:top w:w="80" w:type="dxa"/>
              <w:start w:w="120" w:type="dxa"/>
              <w:bottom w:w="80" w:type="dxa"/>
              <w:end w:w="120" w:type="dxa"/>
            </w:tcMar>
            <w:vAlign w:val="center"/>
          </w:tcPr>
          <w:p>
            <w:pPr>
              <w:spacing w:after="0" w:line="252" w:lineRule="auto"/>
            </w:pPr>
            <w:r>
              <w:rPr>
                <w:rFonts w:ascii="Consolas" w:hAnsi="Consolas" w:eastAsia="Consolas"/>
                <w:b w:val="0"/>
                <w:color w:val="15212B"/>
                <w:sz w:val="15"/>
              </w:rPr>
              <w:t>measurement_discriminates</w:t>
            </w:r>
          </w:p>
        </w:tc>
        <w:tc>
          <w:tcPr>
            <w:tcW w:type="dxa" w:w="4040"/>
            <w:tcMar>
              <w:top w:w="80" w:type="dxa"/>
              <w:start w:w="120" w:type="dxa"/>
              <w:bottom w:w="80" w:type="dxa"/>
              <w:end w:w="120" w:type="dxa"/>
            </w:tcMar>
            <w:vAlign w:val="center"/>
          </w:tcPr>
          <w:p>
            <w:pPr>
              <w:spacing w:after="0" w:line="252" w:lineRule="auto"/>
            </w:pPr>
            <w:r>
              <w:rPr>
                <w:rFonts w:ascii="Calibri" w:hAnsi="Calibri" w:eastAsia="Calibri"/>
                <w:b w:val="0"/>
                <w:color w:val="15212B"/>
                <w:sz w:val="16"/>
              </w:rPr>
              <w:t>Predictions separated by more than 2p cannot both fit one reading.</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Calibri"/>
                <w:b/>
                <w:color w:val="15212B"/>
                <w:sz w:val="16"/>
              </w:rPr>
              <w:t>5</w:t>
            </w:r>
          </w:p>
        </w:tc>
        <w:tc>
          <w:tcPr>
            <w:tcW w:type="dxa" w:w="4670"/>
            <w:tcMar>
              <w:top w:w="80" w:type="dxa"/>
              <w:start w:w="120" w:type="dxa"/>
              <w:bottom w:w="80" w:type="dxa"/>
              <w:end w:w="120" w:type="dxa"/>
            </w:tcMar>
            <w:vAlign w:val="center"/>
          </w:tcPr>
          <w:p>
            <w:pPr>
              <w:spacing w:after="0" w:line="252" w:lineRule="auto"/>
            </w:pPr>
            <w:r>
              <w:rPr>
                <w:rFonts w:ascii="Consolas" w:hAnsi="Consolas" w:eastAsia="Consolas"/>
                <w:b w:val="0"/>
                <w:color w:val="15212B"/>
                <w:sz w:val="15"/>
              </w:rPr>
              <w:t>falsification_by_measurement</w:t>
            </w:r>
          </w:p>
        </w:tc>
        <w:tc>
          <w:tcPr>
            <w:tcW w:type="dxa" w:w="4040"/>
            <w:tcMar>
              <w:top w:w="80" w:type="dxa"/>
              <w:start w:w="120" w:type="dxa"/>
              <w:bottom w:w="80" w:type="dxa"/>
              <w:end w:w="120" w:type="dxa"/>
            </w:tcMar>
            <w:vAlign w:val="center"/>
          </w:tcPr>
          <w:p>
            <w:pPr>
              <w:spacing w:after="0" w:line="252" w:lineRule="auto"/>
            </w:pPr>
            <w:r>
              <w:rPr>
                <w:rFonts w:ascii="Calibri" w:hAnsi="Calibri" w:eastAsia="Calibri"/>
                <w:b w:val="0"/>
                <w:color w:val="15212B"/>
                <w:sz w:val="16"/>
              </w:rPr>
              <w:t>Concrete finite measurement refutes θ = 5.</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Calibri"/>
                <w:b/>
                <w:color w:val="15212B"/>
                <w:sz w:val="16"/>
              </w:rPr>
              <w:t>6</w:t>
            </w:r>
          </w:p>
        </w:tc>
        <w:tc>
          <w:tcPr>
            <w:tcW w:type="dxa" w:w="4670"/>
            <w:tcMar>
              <w:top w:w="80" w:type="dxa"/>
              <w:start w:w="120" w:type="dxa"/>
              <w:bottom w:w="80" w:type="dxa"/>
              <w:end w:w="120" w:type="dxa"/>
            </w:tcMar>
            <w:vAlign w:val="center"/>
          </w:tcPr>
          <w:p>
            <w:pPr>
              <w:spacing w:after="0" w:line="252" w:lineRule="auto"/>
            </w:pPr>
            <w:r>
              <w:rPr>
                <w:rFonts w:ascii="Consolas" w:hAnsi="Consolas" w:eastAsia="Consolas"/>
                <w:b w:val="0"/>
                <w:color w:val="15212B"/>
                <w:sz w:val="15"/>
              </w:rPr>
              <w:t>phaseSpeed_zero</w:t>
            </w:r>
          </w:p>
        </w:tc>
        <w:tc>
          <w:tcPr>
            <w:tcW w:type="dxa" w:w="4040"/>
            <w:tcMar>
              <w:top w:w="80" w:type="dxa"/>
              <w:start w:w="120" w:type="dxa"/>
              <w:bottom w:w="80" w:type="dxa"/>
              <w:end w:w="120" w:type="dxa"/>
            </w:tcMar>
            <w:vAlign w:val="center"/>
          </w:tcPr>
          <w:p>
            <w:pPr>
              <w:spacing w:after="0" w:line="252" w:lineRule="auto"/>
            </w:pPr>
            <w:r>
              <w:rPr>
                <w:rFonts w:ascii="Calibri" w:hAnsi="Calibri" w:eastAsia="Calibri"/>
                <w:b w:val="0"/>
                <w:color w:val="15212B"/>
                <w:sz w:val="16"/>
              </w:rPr>
              <w:t>Zero scalar coupling recovers c.</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Calibri"/>
                <w:b/>
                <w:color w:val="15212B"/>
                <w:sz w:val="16"/>
              </w:rPr>
              <w:t>7</w:t>
            </w:r>
          </w:p>
        </w:tc>
        <w:tc>
          <w:tcPr>
            <w:tcW w:type="dxa" w:w="4670"/>
            <w:tcMar>
              <w:top w:w="80" w:type="dxa"/>
              <w:start w:w="120" w:type="dxa"/>
              <w:bottom w:w="80" w:type="dxa"/>
              <w:end w:w="120" w:type="dxa"/>
            </w:tcMar>
            <w:vAlign w:val="center"/>
          </w:tcPr>
          <w:p>
            <w:pPr>
              <w:spacing w:after="0" w:line="252" w:lineRule="auto"/>
            </w:pPr>
            <w:r>
              <w:rPr>
                <w:rFonts w:ascii="Consolas" w:hAnsi="Consolas" w:eastAsia="Consolas"/>
                <w:b w:val="0"/>
                <w:color w:val="15212B"/>
                <w:sz w:val="15"/>
              </w:rPr>
              <w:t>sqrt_one_sub_sq_pos</w:t>
            </w:r>
          </w:p>
        </w:tc>
        <w:tc>
          <w:tcPr>
            <w:tcW w:type="dxa" w:w="4040"/>
            <w:tcMar>
              <w:top w:w="80" w:type="dxa"/>
              <w:start w:w="120" w:type="dxa"/>
              <w:bottom w:w="80" w:type="dxa"/>
              <w:end w:w="120" w:type="dxa"/>
            </w:tcMar>
            <w:vAlign w:val="center"/>
          </w:tcPr>
          <w:p>
            <w:pPr>
              <w:spacing w:after="0" w:line="252" w:lineRule="auto"/>
            </w:pPr>
            <w:r>
              <w:rPr>
                <w:rFonts w:ascii="Calibri" w:hAnsi="Calibri" w:eastAsia="Calibri"/>
                <w:b w:val="0"/>
                <w:color w:val="15212B"/>
                <w:sz w:val="16"/>
              </w:rPr>
              <w:t>Admissible phase-speed denominator is positive.</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Calibri"/>
                <w:b/>
                <w:color w:val="15212B"/>
                <w:sz w:val="16"/>
              </w:rPr>
              <w:t>8</w:t>
            </w:r>
          </w:p>
        </w:tc>
        <w:tc>
          <w:tcPr>
            <w:tcW w:type="dxa" w:w="4670"/>
            <w:tcMar>
              <w:top w:w="80" w:type="dxa"/>
              <w:start w:w="120" w:type="dxa"/>
              <w:bottom w:w="80" w:type="dxa"/>
              <w:end w:w="120" w:type="dxa"/>
            </w:tcMar>
            <w:vAlign w:val="center"/>
          </w:tcPr>
          <w:p>
            <w:pPr>
              <w:spacing w:after="0" w:line="252" w:lineRule="auto"/>
            </w:pPr>
            <w:r>
              <w:rPr>
                <w:rFonts w:ascii="Consolas" w:hAnsi="Consolas" w:eastAsia="Consolas"/>
                <w:b w:val="0"/>
                <w:color w:val="15212B"/>
                <w:sz w:val="15"/>
              </w:rPr>
              <w:t>sqrt_one_sub_sq_le_one</w:t>
            </w:r>
          </w:p>
        </w:tc>
        <w:tc>
          <w:tcPr>
            <w:tcW w:type="dxa" w:w="4040"/>
            <w:tcMar>
              <w:top w:w="80" w:type="dxa"/>
              <w:start w:w="120" w:type="dxa"/>
              <w:bottom w:w="80" w:type="dxa"/>
              <w:end w:w="120" w:type="dxa"/>
            </w:tcMar>
            <w:vAlign w:val="center"/>
          </w:tcPr>
          <w:p>
            <w:pPr>
              <w:spacing w:after="0" w:line="252" w:lineRule="auto"/>
            </w:pPr>
            <w:r>
              <w:rPr>
                <w:rFonts w:ascii="Calibri" w:hAnsi="Calibri" w:eastAsia="Calibri"/>
                <w:b w:val="0"/>
                <w:color w:val="15212B"/>
                <w:sz w:val="16"/>
              </w:rPr>
              <w:t>The denominator is at most one.</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Calibri"/>
                <w:b/>
                <w:color w:val="15212B"/>
                <w:sz w:val="16"/>
              </w:rPr>
              <w:t>9</w:t>
            </w:r>
          </w:p>
        </w:tc>
        <w:tc>
          <w:tcPr>
            <w:tcW w:type="dxa" w:w="4670"/>
            <w:tcMar>
              <w:top w:w="80" w:type="dxa"/>
              <w:start w:w="120" w:type="dxa"/>
              <w:bottom w:w="80" w:type="dxa"/>
              <w:end w:w="120" w:type="dxa"/>
            </w:tcMar>
            <w:vAlign w:val="center"/>
          </w:tcPr>
          <w:p>
            <w:pPr>
              <w:spacing w:after="0" w:line="252" w:lineRule="auto"/>
            </w:pPr>
            <w:r>
              <w:rPr>
                <w:rFonts w:ascii="Consolas" w:hAnsi="Consolas" w:eastAsia="Consolas"/>
                <w:b w:val="0"/>
                <w:color w:val="15212B"/>
                <w:sz w:val="15"/>
              </w:rPr>
              <w:t>ME002_005.phaseSpeed_satisfies_homogeneous_relation</w:t>
            </w:r>
          </w:p>
        </w:tc>
        <w:tc>
          <w:tcPr>
            <w:tcW w:type="dxa" w:w="4040"/>
            <w:tcMar>
              <w:top w:w="80" w:type="dxa"/>
              <w:start w:w="120" w:type="dxa"/>
              <w:bottom w:w="80" w:type="dxa"/>
              <w:end w:w="120" w:type="dxa"/>
            </w:tcMar>
            <w:vAlign w:val="center"/>
          </w:tcPr>
          <w:p>
            <w:pPr>
              <w:spacing w:after="0" w:line="252" w:lineRule="auto"/>
            </w:pPr>
            <w:r>
              <w:rPr>
                <w:rFonts w:ascii="Calibri" w:hAnsi="Calibri" w:eastAsia="Calibri"/>
                <w:b w:val="0"/>
                <w:color w:val="15212B"/>
                <w:sz w:val="16"/>
              </w:rPr>
              <w:t>The formula satisfies the homogeneous relation.</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Calibri"/>
                <w:b/>
                <w:color w:val="15212B"/>
                <w:sz w:val="16"/>
              </w:rPr>
              <w:t>10</w:t>
            </w:r>
          </w:p>
        </w:tc>
        <w:tc>
          <w:tcPr>
            <w:tcW w:type="dxa" w:w="4670"/>
            <w:tcMar>
              <w:top w:w="80" w:type="dxa"/>
              <w:start w:w="120" w:type="dxa"/>
              <w:bottom w:w="80" w:type="dxa"/>
              <w:end w:w="120" w:type="dxa"/>
            </w:tcMar>
            <w:vAlign w:val="center"/>
          </w:tcPr>
          <w:p>
            <w:pPr>
              <w:spacing w:after="0" w:line="252" w:lineRule="auto"/>
            </w:pPr>
            <w:r>
              <w:rPr>
                <w:rFonts w:ascii="Consolas" w:hAnsi="Consolas" w:eastAsia="Consolas"/>
                <w:b w:val="0"/>
                <w:color w:val="15212B"/>
                <w:sz w:val="15"/>
              </w:rPr>
              <w:t>ME002_005.phaseSpeed_unique_nonneg</w:t>
            </w:r>
          </w:p>
        </w:tc>
        <w:tc>
          <w:tcPr>
            <w:tcW w:type="dxa" w:w="4040"/>
            <w:tcMar>
              <w:top w:w="80" w:type="dxa"/>
              <w:start w:w="120" w:type="dxa"/>
              <w:bottom w:w="80" w:type="dxa"/>
              <w:end w:w="120" w:type="dxa"/>
            </w:tcMar>
            <w:vAlign w:val="center"/>
          </w:tcPr>
          <w:p>
            <w:pPr>
              <w:spacing w:after="0" w:line="252" w:lineRule="auto"/>
            </w:pPr>
            <w:r>
              <w:rPr>
                <w:rFonts w:ascii="Calibri" w:hAnsi="Calibri" w:eastAsia="Calibri"/>
                <w:b w:val="0"/>
                <w:color w:val="15212B"/>
                <w:sz w:val="16"/>
              </w:rPr>
              <w:t>The formula is the unique nonnegative solution.</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Calibri"/>
                <w:b/>
                <w:color w:val="15212B"/>
                <w:sz w:val="16"/>
              </w:rPr>
              <w:t>11</w:t>
            </w:r>
          </w:p>
        </w:tc>
        <w:tc>
          <w:tcPr>
            <w:tcW w:type="dxa" w:w="4670"/>
            <w:tcMar>
              <w:top w:w="80" w:type="dxa"/>
              <w:start w:w="120" w:type="dxa"/>
              <w:bottom w:w="80" w:type="dxa"/>
              <w:end w:w="120" w:type="dxa"/>
            </w:tcMar>
            <w:vAlign w:val="center"/>
          </w:tcPr>
          <w:p>
            <w:pPr>
              <w:spacing w:after="0" w:line="252" w:lineRule="auto"/>
            </w:pPr>
            <w:r>
              <w:rPr>
                <w:rFonts w:ascii="Consolas" w:hAnsi="Consolas" w:eastAsia="Consolas"/>
                <w:b w:val="0"/>
                <w:color w:val="15212B"/>
                <w:sz w:val="15"/>
              </w:rPr>
              <w:t>le_phaseSpeed</w:t>
            </w:r>
          </w:p>
        </w:tc>
        <w:tc>
          <w:tcPr>
            <w:tcW w:type="dxa" w:w="4040"/>
            <w:tcMar>
              <w:top w:w="80" w:type="dxa"/>
              <w:start w:w="120" w:type="dxa"/>
              <w:bottom w:w="80" w:type="dxa"/>
              <w:end w:w="120" w:type="dxa"/>
            </w:tcMar>
            <w:vAlign w:val="center"/>
          </w:tcPr>
          <w:p>
            <w:pPr>
              <w:spacing w:after="0" w:line="252" w:lineRule="auto"/>
            </w:pPr>
            <w:r>
              <w:rPr>
                <w:rFonts w:ascii="Calibri" w:hAnsi="Calibri" w:eastAsia="Calibri"/>
                <w:b w:val="0"/>
                <w:color w:val="15212B"/>
                <w:sz w:val="16"/>
              </w:rPr>
              <w:t>The modeled phase speed is at least c.</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Calibri"/>
                <w:b/>
                <w:color w:val="15212B"/>
                <w:sz w:val="16"/>
              </w:rPr>
              <w:t>12</w:t>
            </w:r>
          </w:p>
        </w:tc>
        <w:tc>
          <w:tcPr>
            <w:tcW w:type="dxa" w:w="4670"/>
            <w:tcMar>
              <w:top w:w="80" w:type="dxa"/>
              <w:start w:w="120" w:type="dxa"/>
              <w:bottom w:w="80" w:type="dxa"/>
              <w:end w:w="120" w:type="dxa"/>
            </w:tcMar>
            <w:vAlign w:val="center"/>
          </w:tcPr>
          <w:p>
            <w:pPr>
              <w:spacing w:after="0" w:line="252" w:lineRule="auto"/>
            </w:pPr>
            <w:r>
              <w:rPr>
                <w:rFonts w:ascii="Consolas" w:hAnsi="Consolas" w:eastAsia="Consolas"/>
                <w:b w:val="0"/>
                <w:color w:val="15212B"/>
                <w:sz w:val="15"/>
              </w:rPr>
              <w:t>lt_phaseSpeed</w:t>
            </w:r>
          </w:p>
        </w:tc>
        <w:tc>
          <w:tcPr>
            <w:tcW w:type="dxa" w:w="4040"/>
            <w:tcMar>
              <w:top w:w="80" w:type="dxa"/>
              <w:start w:w="120" w:type="dxa"/>
              <w:bottom w:w="80" w:type="dxa"/>
              <w:end w:w="120" w:type="dxa"/>
            </w:tcMar>
            <w:vAlign w:val="center"/>
          </w:tcPr>
          <w:p>
            <w:pPr>
              <w:spacing w:after="0" w:line="252" w:lineRule="auto"/>
            </w:pPr>
            <w:r>
              <w:rPr>
                <w:rFonts w:ascii="Calibri" w:hAnsi="Calibri" w:eastAsia="Calibri"/>
                <w:b w:val="0"/>
                <w:color w:val="15212B"/>
                <w:sz w:val="16"/>
              </w:rPr>
              <w:t>Nonzero admissible coupling makes it strictly greater than c.</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Calibri"/>
                <w:b/>
                <w:color w:val="15212B"/>
                <w:sz w:val="16"/>
              </w:rPr>
              <w:t>13</w:t>
            </w:r>
          </w:p>
        </w:tc>
        <w:tc>
          <w:tcPr>
            <w:tcW w:type="dxa" w:w="4670"/>
            <w:tcMar>
              <w:top w:w="80" w:type="dxa"/>
              <w:start w:w="120" w:type="dxa"/>
              <w:bottom w:w="80" w:type="dxa"/>
              <w:end w:w="120" w:type="dxa"/>
            </w:tcMar>
            <w:vAlign w:val="center"/>
          </w:tcPr>
          <w:p>
            <w:pPr>
              <w:spacing w:after="0" w:line="252" w:lineRule="auto"/>
            </w:pPr>
            <w:r>
              <w:rPr>
                <w:rFonts w:ascii="Consolas" w:hAnsi="Consolas" w:eastAsia="Consolas"/>
                <w:b w:val="0"/>
                <w:color w:val="15212B"/>
                <w:sz w:val="15"/>
              </w:rPr>
              <w:t>alpha_sq_le_of_speed_measurement</w:t>
            </w:r>
          </w:p>
        </w:tc>
        <w:tc>
          <w:tcPr>
            <w:tcW w:type="dxa" w:w="4040"/>
            <w:tcMar>
              <w:top w:w="80" w:type="dxa"/>
              <w:start w:w="120" w:type="dxa"/>
              <w:bottom w:w="80" w:type="dxa"/>
              <w:end w:w="120" w:type="dxa"/>
            </w:tcMar>
            <w:vAlign w:val="center"/>
          </w:tcPr>
          <w:p>
            <w:pPr>
              <w:spacing w:after="0" w:line="252" w:lineRule="auto"/>
            </w:pPr>
            <w:r>
              <w:rPr>
                <w:rFonts w:ascii="Calibri" w:hAnsi="Calibri" w:eastAsia="Calibri"/>
                <w:b w:val="0"/>
                <w:color w:val="15212B"/>
                <w:sz w:val="16"/>
              </w:rPr>
              <w:t>Finite precision bounds α².</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Calibri"/>
                <w:b/>
                <w:color w:val="15212B"/>
                <w:sz w:val="16"/>
              </w:rPr>
              <w:t>14</w:t>
            </w:r>
          </w:p>
        </w:tc>
        <w:tc>
          <w:tcPr>
            <w:tcW w:type="dxa" w:w="4670"/>
            <w:tcMar>
              <w:top w:w="80" w:type="dxa"/>
              <w:start w:w="120" w:type="dxa"/>
              <w:bottom w:w="80" w:type="dxa"/>
              <w:end w:w="120" w:type="dxa"/>
            </w:tcMar>
            <w:vAlign w:val="center"/>
          </w:tcPr>
          <w:p>
            <w:pPr>
              <w:spacing w:after="0" w:line="252" w:lineRule="auto"/>
            </w:pPr>
            <w:r>
              <w:rPr>
                <w:rFonts w:ascii="Consolas" w:hAnsi="Consolas" w:eastAsia="Consolas"/>
                <w:b w:val="0"/>
                <w:color w:val="15212B"/>
                <w:sz w:val="15"/>
              </w:rPr>
              <w:t>alpha_eq_zero_of_exact_lightspeed</w:t>
            </w:r>
          </w:p>
        </w:tc>
        <w:tc>
          <w:tcPr>
            <w:tcW w:type="dxa" w:w="4040"/>
            <w:tcMar>
              <w:top w:w="80" w:type="dxa"/>
              <w:start w:w="120" w:type="dxa"/>
              <w:bottom w:w="80" w:type="dxa"/>
              <w:end w:w="120" w:type="dxa"/>
            </w:tcMar>
            <w:vAlign w:val="center"/>
          </w:tcPr>
          <w:p>
            <w:pPr>
              <w:spacing w:after="0" w:line="252" w:lineRule="auto"/>
            </w:pPr>
            <w:r>
              <w:rPr>
                <w:rFonts w:ascii="Calibri" w:hAnsi="Calibri" w:eastAsia="Calibri"/>
                <w:b w:val="0"/>
                <w:color w:val="15212B"/>
                <w:sz w:val="16"/>
              </w:rPr>
              <w:t>Exact baseline phase speed forces α = 0.</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Calibri"/>
                <w:b/>
                <w:color w:val="15212B"/>
                <w:sz w:val="16"/>
              </w:rPr>
              <w:t>15</w:t>
            </w:r>
          </w:p>
        </w:tc>
        <w:tc>
          <w:tcPr>
            <w:tcW w:type="dxa" w:w="4670"/>
            <w:tcMar>
              <w:top w:w="80" w:type="dxa"/>
              <w:start w:w="120" w:type="dxa"/>
              <w:bottom w:w="80" w:type="dxa"/>
              <w:end w:w="120" w:type="dxa"/>
            </w:tcMar>
            <w:vAlign w:val="center"/>
          </w:tcPr>
          <w:p>
            <w:pPr>
              <w:spacing w:after="0" w:line="252" w:lineRule="auto"/>
            </w:pPr>
            <w:r>
              <w:rPr>
                <w:rFonts w:ascii="Consolas" w:hAnsi="Consolas" w:eastAsia="Consolas"/>
                <w:b w:val="0"/>
                <w:color w:val="15212B"/>
                <w:sz w:val="15"/>
              </w:rPr>
              <w:t>phaseSpeed_gap</w:t>
            </w:r>
          </w:p>
        </w:tc>
        <w:tc>
          <w:tcPr>
            <w:tcW w:type="dxa" w:w="4040"/>
            <w:tcMar>
              <w:top w:w="80" w:type="dxa"/>
              <w:start w:w="120" w:type="dxa"/>
              <w:bottom w:w="80" w:type="dxa"/>
              <w:end w:w="120" w:type="dxa"/>
            </w:tcMar>
            <w:vAlign w:val="center"/>
          </w:tcPr>
          <w:p>
            <w:pPr>
              <w:spacing w:after="0" w:line="252" w:lineRule="auto"/>
            </w:pPr>
            <w:r>
              <w:rPr>
                <w:rFonts w:ascii="Calibri" w:hAnsi="Calibri" w:eastAsia="Calibri"/>
                <w:b w:val="0"/>
                <w:color w:val="15212B"/>
                <w:sz w:val="16"/>
              </w:rPr>
              <w:t>A coupling floor produces a uniform prediction gap.</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Calibri"/>
                <w:b/>
                <w:color w:val="15212B"/>
                <w:sz w:val="16"/>
              </w:rPr>
              <w:t>16</w:t>
            </w:r>
          </w:p>
        </w:tc>
        <w:tc>
          <w:tcPr>
            <w:tcW w:type="dxa" w:w="4670"/>
            <w:tcMar>
              <w:top w:w="80" w:type="dxa"/>
              <w:start w:w="120" w:type="dxa"/>
              <w:bottom w:w="80" w:type="dxa"/>
              <w:end w:w="120" w:type="dxa"/>
            </w:tcMar>
            <w:vAlign w:val="center"/>
          </w:tcPr>
          <w:p>
            <w:pPr>
              <w:spacing w:after="0" w:line="252" w:lineRule="auto"/>
            </w:pPr>
            <w:r>
              <w:rPr>
                <w:rFonts w:ascii="Consolas" w:hAnsi="Consolas" w:eastAsia="Consolas"/>
                <w:b w:val="0"/>
                <w:color w:val="15212B"/>
                <w:sz w:val="15"/>
              </w:rPr>
              <w:t>speed_experiment_discriminates</w:t>
            </w:r>
          </w:p>
        </w:tc>
        <w:tc>
          <w:tcPr>
            <w:tcW w:type="dxa" w:w="4040"/>
            <w:tcMar>
              <w:top w:w="80" w:type="dxa"/>
              <w:start w:w="120" w:type="dxa"/>
              <w:bottom w:w="80" w:type="dxa"/>
              <w:end w:w="120" w:type="dxa"/>
            </w:tcMar>
            <w:vAlign w:val="center"/>
          </w:tcPr>
          <w:p>
            <w:pPr>
              <w:spacing w:after="0" w:line="252" w:lineRule="auto"/>
            </w:pPr>
            <w:r>
              <w:rPr>
                <w:rFonts w:ascii="Calibri" w:hAnsi="Calibri" w:eastAsia="Calibri"/>
                <w:b w:val="0"/>
                <w:color w:val="15212B"/>
                <w:sz w:val="16"/>
              </w:rPr>
              <w:t>Sufficient precision separates α = 0 from |α| ≥ ε.</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Calibri"/>
                <w:b/>
                <w:color w:val="15212B"/>
                <w:sz w:val="16"/>
              </w:rPr>
              <w:t>17</w:t>
            </w:r>
          </w:p>
        </w:tc>
        <w:tc>
          <w:tcPr>
            <w:tcW w:type="dxa" w:w="4670"/>
            <w:tcMar>
              <w:top w:w="80" w:type="dxa"/>
              <w:start w:w="120" w:type="dxa"/>
              <w:bottom w:w="80" w:type="dxa"/>
              <w:end w:w="120" w:type="dxa"/>
            </w:tcMar>
            <w:vAlign w:val="center"/>
          </w:tcPr>
          <w:p>
            <w:pPr>
              <w:spacing w:after="0" w:line="252" w:lineRule="auto"/>
            </w:pPr>
            <w:r>
              <w:rPr>
                <w:rFonts w:ascii="Consolas" w:hAnsi="Consolas" w:eastAsia="Consolas"/>
                <w:b w:val="0"/>
                <w:color w:val="15212B"/>
                <w:sz w:val="15"/>
              </w:rPr>
              <w:t>decisive_precision_exists</w:t>
            </w:r>
          </w:p>
        </w:tc>
        <w:tc>
          <w:tcPr>
            <w:tcW w:type="dxa" w:w="4040"/>
            <w:tcMar>
              <w:top w:w="80" w:type="dxa"/>
              <w:start w:w="120" w:type="dxa"/>
              <w:bottom w:w="80" w:type="dxa"/>
              <w:end w:w="120" w:type="dxa"/>
            </w:tcMar>
            <w:vAlign w:val="center"/>
          </w:tcPr>
          <w:p>
            <w:pPr>
              <w:spacing w:after="0" w:line="252" w:lineRule="auto"/>
            </w:pPr>
            <w:r>
              <w:rPr>
                <w:rFonts w:ascii="Calibri" w:hAnsi="Calibri" w:eastAsia="Calibri"/>
                <w:b w:val="0"/>
                <w:color w:val="15212B"/>
                <w:sz w:val="16"/>
              </w:rPr>
              <w:t>A positive discriminating precision exists.</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Calibri"/>
                <w:b/>
                <w:color w:val="15212B"/>
                <w:sz w:val="16"/>
              </w:rPr>
              <w:t>18</w:t>
            </w:r>
          </w:p>
        </w:tc>
        <w:tc>
          <w:tcPr>
            <w:tcW w:type="dxa" w:w="4670"/>
            <w:tcMar>
              <w:top w:w="80" w:type="dxa"/>
              <w:start w:w="120" w:type="dxa"/>
              <w:bottom w:w="80" w:type="dxa"/>
              <w:end w:w="120" w:type="dxa"/>
            </w:tcMar>
            <w:vAlign w:val="center"/>
          </w:tcPr>
          <w:p>
            <w:pPr>
              <w:spacing w:after="0" w:line="252" w:lineRule="auto"/>
            </w:pPr>
            <w:r>
              <w:rPr>
                <w:rFonts w:ascii="Consolas" w:hAnsi="Consolas" w:eastAsia="Consolas"/>
                <w:b w:val="0"/>
                <w:color w:val="15212B"/>
                <w:sz w:val="15"/>
              </w:rPr>
              <w:t>ME056.friedmann_deviation</w:t>
            </w:r>
          </w:p>
        </w:tc>
        <w:tc>
          <w:tcPr>
            <w:tcW w:type="dxa" w:w="4040"/>
            <w:tcMar>
              <w:top w:w="80" w:type="dxa"/>
              <w:start w:w="120" w:type="dxa"/>
              <w:bottom w:w="80" w:type="dxa"/>
              <w:end w:w="120" w:type="dxa"/>
            </w:tcMar>
            <w:vAlign w:val="center"/>
          </w:tcPr>
          <w:p>
            <w:pPr>
              <w:spacing w:after="0" w:line="252" w:lineRule="auto"/>
            </w:pPr>
            <w:r>
              <w:rPr>
                <w:rFonts w:ascii="Calibri" w:hAnsi="Calibri" w:eastAsia="Calibri"/>
                <w:b w:val="0"/>
                <w:color w:val="15212B"/>
                <w:sz w:val="16"/>
              </w:rPr>
              <w:t>The defined extension differs by ΩU²/a².</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Calibri"/>
                <w:b/>
                <w:color w:val="15212B"/>
                <w:sz w:val="16"/>
              </w:rPr>
              <w:t>19</w:t>
            </w:r>
          </w:p>
        </w:tc>
        <w:tc>
          <w:tcPr>
            <w:tcW w:type="dxa" w:w="4670"/>
            <w:tcMar>
              <w:top w:w="80" w:type="dxa"/>
              <w:start w:w="120" w:type="dxa"/>
              <w:bottom w:w="80" w:type="dxa"/>
              <w:end w:w="120" w:type="dxa"/>
            </w:tcMar>
            <w:vAlign w:val="center"/>
          </w:tcPr>
          <w:p>
            <w:pPr>
              <w:spacing w:after="0" w:line="252" w:lineRule="auto"/>
            </w:pPr>
            <w:r>
              <w:rPr>
                <w:rFonts w:ascii="Consolas" w:hAnsi="Consolas" w:eastAsia="Consolas"/>
                <w:b w:val="0"/>
                <w:color w:val="15212B"/>
                <w:sz w:val="15"/>
              </w:rPr>
              <w:t>ME056.OmegaU_sq_le_of_hubble_measurement</w:t>
            </w:r>
          </w:p>
        </w:tc>
        <w:tc>
          <w:tcPr>
            <w:tcW w:type="dxa" w:w="4040"/>
            <w:tcMar>
              <w:top w:w="80" w:type="dxa"/>
              <w:start w:w="120" w:type="dxa"/>
              <w:bottom w:w="80" w:type="dxa"/>
              <w:end w:w="120" w:type="dxa"/>
            </w:tcMar>
            <w:vAlign w:val="center"/>
          </w:tcPr>
          <w:p>
            <w:pPr>
              <w:spacing w:after="0" w:line="252" w:lineRule="auto"/>
            </w:pPr>
            <w:r>
              <w:rPr>
                <w:rFonts w:ascii="Calibri" w:hAnsi="Calibri" w:eastAsia="Calibri"/>
                <w:b w:val="0"/>
                <w:color w:val="15212B"/>
                <w:sz w:val="16"/>
              </w:rPr>
              <w:t>A finite deviation tolerance bounds ΩU².</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Calibri"/>
                <w:b/>
                <w:color w:val="15212B"/>
                <w:sz w:val="16"/>
              </w:rPr>
              <w:t>20</w:t>
            </w:r>
          </w:p>
        </w:tc>
        <w:tc>
          <w:tcPr>
            <w:tcW w:type="dxa" w:w="4670"/>
            <w:tcMar>
              <w:top w:w="80" w:type="dxa"/>
              <w:start w:w="120" w:type="dxa"/>
              <w:bottom w:w="80" w:type="dxa"/>
              <w:end w:w="120" w:type="dxa"/>
            </w:tcMar>
            <w:vAlign w:val="center"/>
          </w:tcPr>
          <w:p>
            <w:pPr>
              <w:spacing w:after="0" w:line="252" w:lineRule="auto"/>
            </w:pPr>
            <w:r>
              <w:rPr>
                <w:rFonts w:ascii="Consolas" w:hAnsi="Consolas" w:eastAsia="Consolas"/>
                <w:b w:val="0"/>
                <w:color w:val="15212B"/>
                <w:sz w:val="15"/>
              </w:rPr>
              <w:t>ME056.OmegaU_eq_zero_of_exact_hubble</w:t>
            </w:r>
          </w:p>
        </w:tc>
        <w:tc>
          <w:tcPr>
            <w:tcW w:type="dxa" w:w="4040"/>
            <w:tcMar>
              <w:top w:w="80" w:type="dxa"/>
              <w:start w:w="120" w:type="dxa"/>
              <w:bottom w:w="80" w:type="dxa"/>
              <w:end w:w="120" w:type="dxa"/>
            </w:tcMar>
            <w:vAlign w:val="center"/>
          </w:tcPr>
          <w:p>
            <w:pPr>
              <w:spacing w:after="0" w:line="252" w:lineRule="auto"/>
            </w:pPr>
            <w:r>
              <w:rPr>
                <w:rFonts w:ascii="Calibri" w:hAnsi="Calibri" w:eastAsia="Calibri"/>
                <w:b w:val="0"/>
                <w:color w:val="15212B"/>
                <w:sz w:val="16"/>
              </w:rPr>
              <w:t>Exact agreement forces ΩU = 0.</w:t>
            </w:r>
          </w:p>
        </w:tc>
      </w:tr>
      <w:tr>
        <w:trPr>
          <w:cantSplit/>
        </w:trPr>
        <w:tc>
          <w:tcPr>
            <w:tcW w:type="dxa" w:w="650"/>
            <w:tcMar>
              <w:top w:w="80" w:type="dxa"/>
              <w:start w:w="120" w:type="dxa"/>
              <w:bottom w:w="80" w:type="dxa"/>
              <w:end w:w="120" w:type="dxa"/>
            </w:tcMar>
            <w:vAlign w:val="center"/>
          </w:tcPr>
          <w:p>
            <w:pPr>
              <w:spacing w:after="0" w:line="252" w:lineRule="auto"/>
            </w:pPr>
            <w:r>
              <w:rPr>
                <w:rFonts w:ascii="Calibri" w:hAnsi="Calibri" w:eastAsia="Calibri"/>
                <w:b/>
                <w:color w:val="15212B"/>
                <w:sz w:val="16"/>
              </w:rPr>
              <w:t>21</w:t>
            </w:r>
          </w:p>
        </w:tc>
        <w:tc>
          <w:tcPr>
            <w:tcW w:type="dxa" w:w="4670"/>
            <w:tcMar>
              <w:top w:w="80" w:type="dxa"/>
              <w:start w:w="120" w:type="dxa"/>
              <w:bottom w:w="80" w:type="dxa"/>
              <w:end w:w="120" w:type="dxa"/>
            </w:tcMar>
            <w:vAlign w:val="center"/>
          </w:tcPr>
          <w:p>
            <w:pPr>
              <w:spacing w:after="0" w:line="252" w:lineRule="auto"/>
            </w:pPr>
            <w:r>
              <w:rPr>
                <w:rFonts w:ascii="Consolas" w:hAnsi="Consolas" w:eastAsia="Consolas"/>
                <w:b w:val="0"/>
                <w:color w:val="15212B"/>
                <w:sz w:val="15"/>
              </w:rPr>
              <w:t>physical_test_asymmetry</w:t>
            </w:r>
          </w:p>
        </w:tc>
        <w:tc>
          <w:tcPr>
            <w:tcW w:type="dxa" w:w="4040"/>
            <w:tcMar>
              <w:top w:w="80" w:type="dxa"/>
              <w:start w:w="120" w:type="dxa"/>
              <w:bottom w:w="80" w:type="dxa"/>
              <w:end w:w="120" w:type="dxa"/>
            </w:tcMar>
            <w:vAlign w:val="center"/>
          </w:tcPr>
          <w:p>
            <w:pPr>
              <w:spacing w:after="0" w:line="252" w:lineRule="auto"/>
            </w:pPr>
            <w:r>
              <w:rPr>
                <w:rFonts w:ascii="Calibri" w:hAnsi="Calibri" w:eastAsia="Calibri"/>
                <w:b w:val="0"/>
                <w:color w:val="15212B"/>
                <w:sz w:val="16"/>
              </w:rPr>
              <w:t>Discrimination and finite-data non-identification hold together.</w:t>
            </w:r>
          </w:p>
        </w:tc>
      </w:tr>
    </w:tbl>
    <w:p>
      <w:pPr>
        <w:spacing w:after="0"/>
      </w:pPr>
    </w:p>
    <w:p>
      <w:pPr>
        <w:pStyle w:val="Caption"/>
        <w:keepNext w:val="0"/>
        <w:keepLines/>
        <w:spacing w:before="0" w:after="160" w:line="276" w:lineRule="auto"/>
      </w:pPr>
      <w:r>
        <w:rPr>
          <w:rFonts w:ascii="Calibri" w:hAnsi="Calibri" w:eastAsia="Calibri"/>
          <w:b w:val="0"/>
          <w:i w:val="0"/>
          <w:color w:val="15212B"/>
        </w:rPr>
        <w:t>Status note. Each row denotes a checked theorem declaration, not a claim of independent empirical confirmation. Tranche IV contains twenty-one declarations: the eighteen supplied physical-test declarations plus three connective lemmas added to make the equation bridges explicit and self-contained.</w:t>
      </w:r>
    </w:p>
    <w:p>
      <w:r>
        <w:br w:type="page"/>
      </w:r>
    </w:p>
    <w:p>
      <w:pPr>
        <w:spacing w:before="0" w:after="0" w:line="20" w:lineRule="exact"/>
      </w:pPr>
      <w:r>
        <w:rPr>
          <w:rFonts w:ascii="Calibri" w:hAnsi="Calibri" w:eastAsia="Calibri"/>
          <w:color w:val="FFFFFF"/>
          <w:sz w:val="2"/>
        </w:rPr>
        <w:t xml:space="preserve"> </w:t>
      </w:r>
    </w:p>
    <w:p>
      <w:pPr>
        <w:pStyle w:val="Heading1"/>
      </w:pPr>
      <w:r>
        <w:t>Appendix B. Assumption ledger</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2300"/>
        <w:gridCol w:w="2750"/>
        <w:gridCol w:w="4310"/>
      </w:tblGrid>
      <w:tr>
        <w:trPr>
          <w:cantSplit/>
          <w:tblHeader w:val="true"/>
        </w:trPr>
        <w:tc>
          <w:tcPr>
            <w:tcW w:type="dxa" w:w="2300"/>
            <w:tcMar>
              <w:top w:w="80" w:type="dxa"/>
              <w:start w:w="120" w:type="dxa"/>
              <w:bottom w:w="80" w:type="dxa"/>
              <w:end w:w="120" w:type="dxa"/>
            </w:tcMar>
            <w:vAlign w:val="center"/>
            <w:shd w:fill="F4F6F9"/>
          </w:tcPr>
          <w:p>
            <w:pPr>
              <w:spacing w:after="0"/>
            </w:pPr>
            <w:r>
              <w:rPr>
                <w:rFonts w:ascii="Calibri" w:hAnsi="Calibri" w:eastAsia="Calibri"/>
                <w:b/>
                <w:color w:val="203748"/>
                <w:sz w:val="18"/>
              </w:rPr>
              <w:t>Assumption</w:t>
            </w:r>
          </w:p>
        </w:tc>
        <w:tc>
          <w:tcPr>
            <w:tcW w:type="dxa" w:w="2750"/>
            <w:tcMar>
              <w:top w:w="80" w:type="dxa"/>
              <w:start w:w="120" w:type="dxa"/>
              <w:bottom w:w="80" w:type="dxa"/>
              <w:end w:w="120" w:type="dxa"/>
            </w:tcMar>
            <w:vAlign w:val="center"/>
            <w:shd w:fill="F4F6F9"/>
          </w:tcPr>
          <w:p>
            <w:pPr>
              <w:spacing w:after="0"/>
            </w:pPr>
            <w:r>
              <w:rPr>
                <w:rFonts w:ascii="Calibri" w:hAnsi="Calibri" w:eastAsia="Calibri"/>
                <w:b/>
                <w:color w:val="203748"/>
                <w:sz w:val="18"/>
              </w:rPr>
              <w:t>Used by</w:t>
            </w:r>
          </w:p>
        </w:tc>
        <w:tc>
          <w:tcPr>
            <w:tcW w:type="dxa" w:w="4310"/>
            <w:tcMar>
              <w:top w:w="80" w:type="dxa"/>
              <w:start w:w="120" w:type="dxa"/>
              <w:bottom w:w="80" w:type="dxa"/>
              <w:end w:w="120" w:type="dxa"/>
            </w:tcMar>
            <w:vAlign w:val="center"/>
            <w:shd w:fill="F4F6F9"/>
          </w:tcPr>
          <w:p>
            <w:pPr>
              <w:spacing w:after="0"/>
            </w:pPr>
            <w:r>
              <w:rPr>
                <w:rFonts w:ascii="Calibri" w:hAnsi="Calibri" w:eastAsia="Calibri"/>
                <w:b/>
                <w:color w:val="203748"/>
                <w:sz w:val="18"/>
              </w:rPr>
              <w:t>Reason</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eastAsia="Calibri"/>
                <w:b/>
                <w:color w:val="15212B"/>
                <w:sz w:val="17"/>
              </w:rPr>
              <w:t>D is a List</w:t>
            </w:r>
          </w:p>
        </w:tc>
        <w:tc>
          <w:tcPr>
            <w:tcW w:type="dxa" w:w="2750"/>
            <w:tcMar>
              <w:top w:w="80" w:type="dxa"/>
              <w:start w:w="120" w:type="dxa"/>
              <w:bottom w:w="80" w:type="dxa"/>
              <w:end w:w="120" w:type="dxa"/>
            </w:tcMar>
            <w:vAlign w:val="center"/>
          </w:tcPr>
          <w:p>
            <w:pPr>
              <w:spacing w:after="0" w:line="252" w:lineRule="auto"/>
            </w:pPr>
            <w:r>
              <w:rPr>
                <w:rFonts w:ascii="Consolas" w:hAnsi="Consolas" w:eastAsia="Consolas"/>
                <w:b w:val="0"/>
                <w:color w:val="15212B"/>
                <w:sz w:val="16"/>
              </w:rPr>
              <w:t>IV.2–IV.3, IV.21</w:t>
            </w:r>
          </w:p>
        </w:tc>
        <w:tc>
          <w:tcPr>
            <w:tcW w:type="dxa" w:w="4310"/>
            <w:tcMar>
              <w:top w:w="80" w:type="dxa"/>
              <w:start w:w="120" w:type="dxa"/>
              <w:bottom w:w="80" w:type="dxa"/>
              <w:end w:w="120" w:type="dxa"/>
            </w:tcMar>
            <w:vAlign w:val="center"/>
          </w:tcPr>
          <w:p>
            <w:pPr>
              <w:spacing w:after="0" w:line="252" w:lineRule="auto"/>
            </w:pPr>
            <w:r>
              <w:rPr>
                <w:rFonts w:ascii="Calibri" w:hAnsi="Calibri" w:eastAsia="Calibri"/>
                <w:b w:val="0"/>
                <w:color w:val="15212B"/>
                <w:sz w:val="17"/>
              </w:rPr>
              <w:t>Makes the family of measurement constraints finite.</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eastAsia="Calibri"/>
                <w:b/>
                <w:color w:val="15212B"/>
                <w:sz w:val="17"/>
              </w:rPr>
              <w:t>ContinuousAt Oₘ θ₀</w:t>
            </w:r>
          </w:p>
        </w:tc>
        <w:tc>
          <w:tcPr>
            <w:tcW w:type="dxa" w:w="2750"/>
            <w:tcMar>
              <w:top w:w="80" w:type="dxa"/>
              <w:start w:w="120" w:type="dxa"/>
              <w:bottom w:w="80" w:type="dxa"/>
              <w:end w:w="120" w:type="dxa"/>
            </w:tcMar>
            <w:vAlign w:val="center"/>
          </w:tcPr>
          <w:p>
            <w:pPr>
              <w:spacing w:after="0" w:line="252" w:lineRule="auto"/>
            </w:pPr>
            <w:r>
              <w:rPr>
                <w:rFonts w:ascii="Consolas" w:hAnsi="Consolas" w:eastAsia="Consolas"/>
                <w:b w:val="0"/>
                <w:color w:val="15212B"/>
                <w:sz w:val="16"/>
              </w:rPr>
              <w:t>IV.2–IV.3, IV.21</w:t>
            </w:r>
          </w:p>
        </w:tc>
        <w:tc>
          <w:tcPr>
            <w:tcW w:type="dxa" w:w="4310"/>
            <w:tcMar>
              <w:top w:w="80" w:type="dxa"/>
              <w:start w:w="120" w:type="dxa"/>
              <w:bottom w:w="80" w:type="dxa"/>
              <w:end w:w="120" w:type="dxa"/>
            </w:tcMar>
            <w:vAlign w:val="center"/>
          </w:tcPr>
          <w:p>
            <w:pPr>
              <w:spacing w:after="0" w:line="252" w:lineRule="auto"/>
            </w:pPr>
            <w:r>
              <w:rPr>
                <w:rFonts w:ascii="Calibri" w:hAnsi="Calibri" w:eastAsia="Calibri"/>
                <w:b w:val="0"/>
                <w:color w:val="15212B"/>
                <w:sz w:val="17"/>
              </w:rPr>
              <w:t>Transfers strict inequality to a neighborhood.</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eastAsia="Calibri"/>
                <w:b/>
                <w:color w:val="15212B"/>
                <w:sz w:val="17"/>
              </w:rPr>
              <w:t>Strict compatibility</w:t>
            </w:r>
          </w:p>
        </w:tc>
        <w:tc>
          <w:tcPr>
            <w:tcW w:type="dxa" w:w="2750"/>
            <w:tcMar>
              <w:top w:w="80" w:type="dxa"/>
              <w:start w:w="120" w:type="dxa"/>
              <w:bottom w:w="80" w:type="dxa"/>
              <w:end w:w="120" w:type="dxa"/>
            </w:tcMar>
            <w:vAlign w:val="center"/>
          </w:tcPr>
          <w:p>
            <w:pPr>
              <w:spacing w:after="0" w:line="252" w:lineRule="auto"/>
            </w:pPr>
            <w:r>
              <w:rPr>
                <w:rFonts w:ascii="Consolas" w:hAnsi="Consolas" w:eastAsia="Consolas"/>
                <w:b w:val="0"/>
                <w:color w:val="15212B"/>
                <w:sz w:val="16"/>
              </w:rPr>
              <w:t>IV.2–IV.3, IV.21</w:t>
            </w:r>
          </w:p>
        </w:tc>
        <w:tc>
          <w:tcPr>
            <w:tcW w:type="dxa" w:w="4310"/>
            <w:tcMar>
              <w:top w:w="80" w:type="dxa"/>
              <w:start w:w="120" w:type="dxa"/>
              <w:bottom w:w="80" w:type="dxa"/>
              <w:end w:w="120" w:type="dxa"/>
            </w:tcMar>
            <w:vAlign w:val="center"/>
          </w:tcPr>
          <w:p>
            <w:pPr>
              <w:spacing w:after="0" w:line="252" w:lineRule="auto"/>
            </w:pPr>
            <w:r>
              <w:rPr>
                <w:rFonts w:ascii="Calibri" w:hAnsi="Calibri" w:eastAsia="Calibri"/>
                <w:b w:val="0"/>
                <w:color w:val="15212B"/>
                <w:sz w:val="17"/>
              </w:rPr>
              <w:t>Provides interior slack; boundary equality need not persist.</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eastAsia="Calibri"/>
                <w:b/>
                <w:color w:val="15212B"/>
                <w:sz w:val="17"/>
              </w:rPr>
              <w:t>c &gt; 0</w:t>
            </w:r>
          </w:p>
        </w:tc>
        <w:tc>
          <w:tcPr>
            <w:tcW w:type="dxa" w:w="2750"/>
            <w:tcMar>
              <w:top w:w="80" w:type="dxa"/>
              <w:start w:w="120" w:type="dxa"/>
              <w:bottom w:w="80" w:type="dxa"/>
              <w:end w:w="120" w:type="dxa"/>
            </w:tcMar>
            <w:vAlign w:val="center"/>
          </w:tcPr>
          <w:p>
            <w:pPr>
              <w:spacing w:after="0" w:line="252" w:lineRule="auto"/>
            </w:pPr>
            <w:r>
              <w:rPr>
                <w:rFonts w:ascii="Consolas" w:hAnsi="Consolas" w:eastAsia="Consolas"/>
                <w:b w:val="0"/>
                <w:color w:val="15212B"/>
                <w:sz w:val="16"/>
              </w:rPr>
              <w:t>IV.11–IV.17, IV.21</w:t>
            </w:r>
          </w:p>
        </w:tc>
        <w:tc>
          <w:tcPr>
            <w:tcW w:type="dxa" w:w="4310"/>
            <w:tcMar>
              <w:top w:w="80" w:type="dxa"/>
              <w:start w:w="120" w:type="dxa"/>
              <w:bottom w:w="80" w:type="dxa"/>
              <w:end w:w="120" w:type="dxa"/>
            </w:tcMar>
            <w:vAlign w:val="center"/>
          </w:tcPr>
          <w:p>
            <w:pPr>
              <w:spacing w:after="0" w:line="252" w:lineRule="auto"/>
            </w:pPr>
            <w:r>
              <w:rPr>
                <w:rFonts w:ascii="Calibri" w:hAnsi="Calibri" w:eastAsia="Calibri"/>
                <w:b w:val="0"/>
                <w:color w:val="15212B"/>
                <w:sz w:val="17"/>
              </w:rPr>
              <w:t>Fixes sign for reciprocal and strict-order arguments.</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eastAsia="Calibri"/>
                <w:b/>
                <w:color w:val="15212B"/>
                <w:sz w:val="17"/>
              </w:rPr>
              <w:t>α² &lt; 1</w:t>
            </w:r>
          </w:p>
        </w:tc>
        <w:tc>
          <w:tcPr>
            <w:tcW w:type="dxa" w:w="2750"/>
            <w:tcMar>
              <w:top w:w="80" w:type="dxa"/>
              <w:start w:w="120" w:type="dxa"/>
              <w:bottom w:w="80" w:type="dxa"/>
              <w:end w:w="120" w:type="dxa"/>
            </w:tcMar>
            <w:vAlign w:val="center"/>
          </w:tcPr>
          <w:p>
            <w:pPr>
              <w:spacing w:after="0" w:line="252" w:lineRule="auto"/>
            </w:pPr>
            <w:r>
              <w:rPr>
                <w:rFonts w:ascii="Consolas" w:hAnsi="Consolas" w:eastAsia="Consolas"/>
                <w:b w:val="0"/>
                <w:color w:val="15212B"/>
                <w:sz w:val="16"/>
              </w:rPr>
              <w:t>IV.7, IV.9–IV.17, IV.21</w:t>
            </w:r>
          </w:p>
        </w:tc>
        <w:tc>
          <w:tcPr>
            <w:tcW w:type="dxa" w:w="4310"/>
            <w:tcMar>
              <w:top w:w="80" w:type="dxa"/>
              <w:start w:w="120" w:type="dxa"/>
              <w:bottom w:w="80" w:type="dxa"/>
              <w:end w:w="120" w:type="dxa"/>
            </w:tcMar>
            <w:vAlign w:val="center"/>
          </w:tcPr>
          <w:p>
            <w:pPr>
              <w:spacing w:after="0" w:line="252" w:lineRule="auto"/>
            </w:pPr>
            <w:r>
              <w:rPr>
                <w:rFonts w:ascii="Calibri" w:hAnsi="Calibri" w:eastAsia="Calibri"/>
                <w:b w:val="0"/>
                <w:color w:val="15212B"/>
                <w:sz w:val="17"/>
              </w:rPr>
              <w:t>Makes √(1−α²) positive and the branch admissible.</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eastAsia="Calibri"/>
                <w:b/>
                <w:color w:val="15212B"/>
                <w:sz w:val="17"/>
              </w:rPr>
              <w:t>α ≠ 0</w:t>
            </w:r>
          </w:p>
        </w:tc>
        <w:tc>
          <w:tcPr>
            <w:tcW w:type="dxa" w:w="2750"/>
            <w:tcMar>
              <w:top w:w="80" w:type="dxa"/>
              <w:start w:w="120" w:type="dxa"/>
              <w:bottom w:w="80" w:type="dxa"/>
              <w:end w:w="120" w:type="dxa"/>
            </w:tcMar>
            <w:vAlign w:val="center"/>
          </w:tcPr>
          <w:p>
            <w:pPr>
              <w:spacing w:after="0" w:line="252" w:lineRule="auto"/>
            </w:pPr>
            <w:r>
              <w:rPr>
                <w:rFonts w:ascii="Consolas" w:hAnsi="Consolas" w:eastAsia="Consolas"/>
                <w:b w:val="0"/>
                <w:color w:val="15212B"/>
                <w:sz w:val="16"/>
              </w:rPr>
              <w:t>IV.12 and proof of IV.14</w:t>
            </w:r>
          </w:p>
        </w:tc>
        <w:tc>
          <w:tcPr>
            <w:tcW w:type="dxa" w:w="4310"/>
            <w:tcMar>
              <w:top w:w="80" w:type="dxa"/>
              <w:start w:w="120" w:type="dxa"/>
              <w:bottom w:w="80" w:type="dxa"/>
              <w:end w:w="120" w:type="dxa"/>
            </w:tcMar>
            <w:vAlign w:val="center"/>
          </w:tcPr>
          <w:p>
            <w:pPr>
              <w:spacing w:after="0" w:line="252" w:lineRule="auto"/>
            </w:pPr>
            <w:r>
              <w:rPr>
                <w:rFonts w:ascii="Calibri" w:hAnsi="Calibri" w:eastAsia="Calibri"/>
                <w:b w:val="0"/>
                <w:color w:val="15212B"/>
                <w:sz w:val="17"/>
              </w:rPr>
              <w:t>Makes the phase-speed excess strict.</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eastAsia="Calibri"/>
                <w:b/>
                <w:color w:val="15212B"/>
                <w:sz w:val="17"/>
              </w:rPr>
              <w:t>ε &gt; 0; ε² &lt; 1</w:t>
            </w:r>
          </w:p>
        </w:tc>
        <w:tc>
          <w:tcPr>
            <w:tcW w:type="dxa" w:w="2750"/>
            <w:tcMar>
              <w:top w:w="80" w:type="dxa"/>
              <w:start w:w="120" w:type="dxa"/>
              <w:bottom w:w="80" w:type="dxa"/>
              <w:end w:w="120" w:type="dxa"/>
            </w:tcMar>
            <w:vAlign w:val="center"/>
          </w:tcPr>
          <w:p>
            <w:pPr>
              <w:spacing w:after="0" w:line="252" w:lineRule="auto"/>
            </w:pPr>
            <w:r>
              <w:rPr>
                <w:rFonts w:ascii="Consolas" w:hAnsi="Consolas" w:eastAsia="Consolas"/>
                <w:b w:val="0"/>
                <w:color w:val="15212B"/>
                <w:sz w:val="16"/>
              </w:rPr>
              <w:t>IV.15–IV.17, IV.21</w:t>
            </w:r>
          </w:p>
        </w:tc>
        <w:tc>
          <w:tcPr>
            <w:tcW w:type="dxa" w:w="4310"/>
            <w:tcMar>
              <w:top w:w="80" w:type="dxa"/>
              <w:start w:w="120" w:type="dxa"/>
              <w:bottom w:w="80" w:type="dxa"/>
              <w:end w:w="120" w:type="dxa"/>
            </w:tcMar>
            <w:vAlign w:val="center"/>
          </w:tcPr>
          <w:p>
            <w:pPr>
              <w:spacing w:after="0" w:line="252" w:lineRule="auto"/>
            </w:pPr>
            <w:r>
              <w:rPr>
                <w:rFonts w:ascii="Calibri" w:hAnsi="Calibri" w:eastAsia="Calibri"/>
                <w:b w:val="0"/>
                <w:color w:val="15212B"/>
                <w:sz w:val="17"/>
              </w:rPr>
              <w:t>Defines a nonzero admissible alternative threshold.</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eastAsia="Calibri"/>
                <w:b/>
                <w:color w:val="15212B"/>
                <w:sz w:val="17"/>
              </w:rPr>
              <w:t>ε ≤ |α|</w:t>
            </w:r>
          </w:p>
        </w:tc>
        <w:tc>
          <w:tcPr>
            <w:tcW w:type="dxa" w:w="2750"/>
            <w:tcMar>
              <w:top w:w="80" w:type="dxa"/>
              <w:start w:w="120" w:type="dxa"/>
              <w:bottom w:w="80" w:type="dxa"/>
              <w:end w:w="120" w:type="dxa"/>
            </w:tcMar>
            <w:vAlign w:val="center"/>
          </w:tcPr>
          <w:p>
            <w:pPr>
              <w:spacing w:after="0" w:line="252" w:lineRule="auto"/>
            </w:pPr>
            <w:r>
              <w:rPr>
                <w:rFonts w:ascii="Consolas" w:hAnsi="Consolas" w:eastAsia="Consolas"/>
                <w:b w:val="0"/>
                <w:color w:val="15212B"/>
                <w:sz w:val="16"/>
              </w:rPr>
              <w:t>IV.15–IV.17, IV.21</w:t>
            </w:r>
          </w:p>
        </w:tc>
        <w:tc>
          <w:tcPr>
            <w:tcW w:type="dxa" w:w="4310"/>
            <w:tcMar>
              <w:top w:w="80" w:type="dxa"/>
              <w:start w:w="120" w:type="dxa"/>
              <w:bottom w:w="80" w:type="dxa"/>
              <w:end w:w="120" w:type="dxa"/>
            </w:tcMar>
            <w:vAlign w:val="center"/>
          </w:tcPr>
          <w:p>
            <w:pPr>
              <w:spacing w:after="0" w:line="252" w:lineRule="auto"/>
            </w:pPr>
            <w:r>
              <w:rPr>
                <w:rFonts w:ascii="Calibri" w:hAnsi="Calibri" w:eastAsia="Calibri"/>
                <w:b w:val="0"/>
                <w:color w:val="15212B"/>
                <w:sz w:val="17"/>
              </w:rPr>
              <w:t>Provides a uniform lower prediction gap.</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eastAsia="Calibri"/>
                <w:b/>
                <w:color w:val="15212B"/>
                <w:sz w:val="17"/>
              </w:rPr>
              <w:t>a ≠ 0</w:t>
            </w:r>
          </w:p>
        </w:tc>
        <w:tc>
          <w:tcPr>
            <w:tcW w:type="dxa" w:w="2750"/>
            <w:tcMar>
              <w:top w:w="80" w:type="dxa"/>
              <w:start w:w="120" w:type="dxa"/>
              <w:bottom w:w="80" w:type="dxa"/>
              <w:end w:w="120" w:type="dxa"/>
            </w:tcMar>
            <w:vAlign w:val="center"/>
          </w:tcPr>
          <w:p>
            <w:pPr>
              <w:spacing w:after="0" w:line="252" w:lineRule="auto"/>
            </w:pPr>
            <w:r>
              <w:rPr>
                <w:rFonts w:ascii="Consolas" w:hAnsi="Consolas" w:eastAsia="Consolas"/>
                <w:b w:val="0"/>
                <w:color w:val="15212B"/>
                <w:sz w:val="16"/>
              </w:rPr>
              <w:t>IV.19–IV.20</w:t>
            </w:r>
          </w:p>
        </w:tc>
        <w:tc>
          <w:tcPr>
            <w:tcW w:type="dxa" w:w="4310"/>
            <w:tcMar>
              <w:top w:w="80" w:type="dxa"/>
              <w:start w:w="120" w:type="dxa"/>
              <w:bottom w:w="80" w:type="dxa"/>
              <w:end w:w="120" w:type="dxa"/>
            </w:tcMar>
            <w:vAlign w:val="center"/>
          </w:tcPr>
          <w:p>
            <w:pPr>
              <w:spacing w:after="0" w:line="252" w:lineRule="auto"/>
            </w:pPr>
            <w:r>
              <w:rPr>
                <w:rFonts w:ascii="Calibri" w:hAnsi="Calibri" w:eastAsia="Calibri"/>
                <w:b w:val="0"/>
                <w:color w:val="15212B"/>
                <w:sz w:val="17"/>
              </w:rPr>
              <w:t>Makes a² positive for division and order transport.</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eastAsia="Calibri"/>
                <w:b/>
                <w:color w:val="15212B"/>
                <w:sz w:val="17"/>
              </w:rPr>
              <w:t>Absolute error ≤ p or δ</w:t>
            </w:r>
          </w:p>
        </w:tc>
        <w:tc>
          <w:tcPr>
            <w:tcW w:type="dxa" w:w="2750"/>
            <w:tcMar>
              <w:top w:w="80" w:type="dxa"/>
              <w:start w:w="120" w:type="dxa"/>
              <w:bottom w:w="80" w:type="dxa"/>
              <w:end w:w="120" w:type="dxa"/>
            </w:tcMar>
            <w:vAlign w:val="center"/>
          </w:tcPr>
          <w:p>
            <w:pPr>
              <w:spacing w:after="0" w:line="252" w:lineRule="auto"/>
            </w:pPr>
            <w:r>
              <w:rPr>
                <w:rFonts w:ascii="Consolas" w:hAnsi="Consolas" w:eastAsia="Consolas"/>
                <w:b w:val="0"/>
                <w:color w:val="15212B"/>
                <w:sz w:val="16"/>
              </w:rPr>
              <w:t>IV.13, IV.16, IV.19</w:t>
            </w:r>
          </w:p>
        </w:tc>
        <w:tc>
          <w:tcPr>
            <w:tcW w:type="dxa" w:w="4310"/>
            <w:tcMar>
              <w:top w:w="80" w:type="dxa"/>
              <w:start w:w="120" w:type="dxa"/>
              <w:bottom w:w="80" w:type="dxa"/>
              <w:end w:w="120" w:type="dxa"/>
            </w:tcMar>
            <w:vAlign w:val="center"/>
          </w:tcPr>
          <w:p>
            <w:pPr>
              <w:spacing w:after="0" w:line="252" w:lineRule="auto"/>
            </w:pPr>
            <w:r>
              <w:rPr>
                <w:rFonts w:ascii="Calibri" w:hAnsi="Calibri" w:eastAsia="Calibri"/>
                <w:b w:val="0"/>
                <w:color w:val="15212B"/>
                <w:sz w:val="17"/>
              </w:rPr>
              <w:t>Defines deterministic finite-precision compatibility.</w:t>
            </w:r>
          </w:p>
        </w:tc>
      </w:tr>
    </w:tbl>
    <w:p>
      <w:pPr>
        <w:spacing w:after="0"/>
      </w:pPr>
    </w:p>
    <w:p>
      <w:r>
        <w:br w:type="page"/>
      </w:r>
    </w:p>
    <w:p>
      <w:pPr>
        <w:spacing w:before="0" w:after="0" w:line="20" w:lineRule="exact"/>
      </w:pPr>
      <w:r>
        <w:rPr>
          <w:rFonts w:ascii="Calibri" w:hAnsi="Calibri" w:eastAsia="Calibri"/>
          <w:color w:val="FFFFFF"/>
          <w:sz w:val="2"/>
        </w:rPr>
        <w:t xml:space="preserve"> </w:t>
      </w:r>
    </w:p>
    <w:p>
      <w:pPr>
        <w:pStyle w:val="Heading1"/>
      </w:pPr>
      <w:r>
        <w:t>References</w:t>
      </w:r>
    </w:p>
    <w:p>
      <w:pPr>
        <w:keepNext w:val="0"/>
        <w:keepLines/>
        <w:spacing w:before="0" w:after="100" w:line="276" w:lineRule="auto"/>
        <w:jc w:val="left"/>
      </w:pPr>
      <w:r>
        <w:rPr>
          <w:rFonts w:ascii="Calibri" w:hAnsi="Calibri" w:eastAsia="Calibri"/>
          <w:b w:val="0"/>
          <w:i w:val="0"/>
          <w:color w:val="15212B"/>
          <w:sz w:val="19"/>
        </w:rPr>
        <w:t>[1] Monolithic102.TrancheIV, Lean source file Monolithic102/TrancheIV.lean, commit 301a95ef94ba8888f62fb39a9df2e3533041dd9a (2026-09-05).</w:t>
      </w:r>
    </w:p>
    <w:p>
      <w:pPr>
        <w:keepNext w:val="0"/>
        <w:keepLines/>
        <w:spacing w:before="0" w:after="100" w:line="276" w:lineRule="auto"/>
        <w:jc w:val="left"/>
      </w:pPr>
      <w:r>
        <w:rPr>
          <w:rFonts w:ascii="Calibri" w:hAnsi="Calibri" w:eastAsia="Calibri"/>
          <w:b w:val="0"/>
          <w:i w:val="0"/>
          <w:color w:val="15212B"/>
          <w:sz w:val="19"/>
        </w:rPr>
        <w:t>[2] EFMW / Monolithic 102 equation corpus, canonical equation identifiers ME-002, ME-005, and ME-056.</w:t>
      </w:r>
    </w:p>
    <w:p>
      <w:pPr>
        <w:keepNext w:val="0"/>
        <w:keepLines/>
        <w:spacing w:before="0" w:after="100" w:line="276" w:lineRule="auto"/>
        <w:jc w:val="left"/>
      </w:pPr>
      <w:r>
        <w:rPr>
          <w:rFonts w:ascii="Calibri" w:hAnsi="Calibri" w:eastAsia="Calibri"/>
          <w:b w:val="0"/>
          <w:i w:val="0"/>
          <w:color w:val="15212B"/>
          <w:sz w:val="19"/>
        </w:rPr>
        <w:t>[3] Lean 4 theorem prover, version 4.19.0, pinned by the project lean-toolchain.</w:t>
      </w:r>
    </w:p>
    <w:p>
      <w:pPr>
        <w:keepNext w:val="0"/>
        <w:keepLines/>
        <w:spacing w:before="0" w:after="100" w:line="276" w:lineRule="auto"/>
        <w:jc w:val="left"/>
      </w:pPr>
      <w:r>
        <w:rPr>
          <w:rFonts w:ascii="Calibri" w:hAnsi="Calibri" w:eastAsia="Calibri"/>
          <w:b w:val="0"/>
          <w:i w:val="0"/>
          <w:color w:val="15212B"/>
          <w:sz w:val="19"/>
        </w:rPr>
        <w:t>[4] Mathlib, release 4.19.0, commit c44e0c8ee63ca166450922a373c7409c5d26b00b, pinned in lake-manifest.json.</w:t>
      </w:r>
    </w:p>
    <w:p>
      <w:pPr>
        <w:keepNext w:val="0"/>
        <w:keepLines/>
        <w:spacing w:before="0" w:after="100" w:line="276" w:lineRule="auto"/>
        <w:jc w:val="left"/>
      </w:pPr>
      <w:r>
        <w:rPr>
          <w:rFonts w:ascii="Calibri" w:hAnsi="Calibri" w:eastAsia="Calibri"/>
          <w:b w:val="0"/>
          <w:i w:val="0"/>
          <w:color w:val="15212B"/>
          <w:sz w:val="19"/>
        </w:rPr>
        <w:t>[5] Tranche IV theorem register and formalization rebuild status, project records accompanying the verified source tree.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B7280"/>
        <w:sz w:val="17"/>
      </w:rPr>
      <w:t xml:space="preserve">Matthew Chenoweth Wright · Monolithic LLC  |  </w:t>
    </w:r>
    <w:r>
      <w:rPr>
        <w:rFonts w:ascii="Calibri" w:hAnsi="Calibri" w:eastAsia="Calibri"/>
        <w:color w:val="6B728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eastAsia="Calibri"/>
        <w:b/>
        <w:color w:val="6B7280"/>
        <w:sz w:val="17"/>
      </w:rPr>
      <w:t>THE EFMW THEOREM TRANCHE IV</w:t>
    </w:r>
  </w:p>
  <w:p>
    <w:pPr>
      <w:spacing w:after="0"/>
      <w:jc w:val="right"/>
    </w:pPr>
    <w:r>
      <w:rPr>
        <w:rFonts w:ascii="Calibri" w:hAnsi="Calibri" w:eastAsia="Calibri"/>
        <w:color w:val="6B7280"/>
        <w:sz w:val="17"/>
      </w:rPr>
      <w:t>FORMAL PAPER · MONOLITHIC 102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5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i/>
      <w:color w:val="6B72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EFMW Theorem Tranche IV</dc:title>
  <dc:subject>Finite-Precision Falsification and Conditional Observational Bounds in the EFMW / Monolithic 102 Corpus</dc:subject>
  <dc:creator>Matthew Chenoweth Wright · Monolithic LLC</dc:creator>
  <cp:keywords>EFMW, Monolithic 102, Lean 4, finite precision, falsification, ME-002, ME-005, ME-056</cp:keywords>
  <dc:description>Formal paper accompanying the kernel-checked Tranche IV Lean development.</dc:description>
  <cp:lastModifiedBy/>
  <cp:revision>1</cp:revision>
  <dcterms:created xsi:type="dcterms:W3CDTF">2013-12-23T23:15:00Z</dcterms:created>
  <dcterms:modified xsi:type="dcterms:W3CDTF">2013-12-23T23:15:00Z</dcterms:modified>
  <cp:category/>
</cp:coreProperties>
</file>