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604"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1E0" w:firstRow="1" w:lastRow="1" w:firstColumn="1" w:lastColumn="1" w:noHBand="0" w:noVBand="0"/>
      </w:tblPr>
      <w:tblGrid>
        <w:gridCol w:w="9604"/>
      </w:tblGrid>
      <w:tr w:rsidR="00CA2B7D" w:rsidRPr="00A259DC" w14:paraId="42ABF184" w14:textId="77777777" w:rsidTr="00941186">
        <w:tc>
          <w:tcPr>
            <w:tcW w:w="9604" w:type="dxa"/>
          </w:tcPr>
          <w:p w14:paraId="3CDA98B5" w14:textId="77777777" w:rsidR="00CA2B7D" w:rsidRDefault="00CA2B7D" w:rsidP="00941186">
            <w:pPr>
              <w:rPr>
                <w:b/>
                <w:sz w:val="20"/>
                <w:szCs w:val="20"/>
              </w:rPr>
            </w:pPr>
            <w:r w:rsidRPr="00A259DC">
              <w:rPr>
                <w:b/>
                <w:sz w:val="20"/>
                <w:szCs w:val="20"/>
              </w:rPr>
              <w:t>1.</w:t>
            </w:r>
            <w:r>
              <w:rPr>
                <w:b/>
                <w:sz w:val="20"/>
                <w:szCs w:val="20"/>
              </w:rPr>
              <w:t>1</w:t>
            </w:r>
            <w:r w:rsidRPr="00A259DC">
              <w:rPr>
                <w:sz w:val="20"/>
                <w:szCs w:val="20"/>
              </w:rPr>
              <w:t xml:space="preserve"> </w:t>
            </w:r>
            <w:r w:rsidRPr="00A259DC">
              <w:rPr>
                <w:b/>
                <w:sz w:val="20"/>
                <w:szCs w:val="20"/>
              </w:rPr>
              <w:t xml:space="preserve">Dönem İçinde </w:t>
            </w:r>
            <w:r>
              <w:rPr>
                <w:b/>
                <w:sz w:val="20"/>
                <w:szCs w:val="20"/>
              </w:rPr>
              <w:t>Gerçekleştirilen Faaliyetler ve Elde Edilen Bulgular/Sonuçlar</w:t>
            </w:r>
          </w:p>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CA2B7D" w:rsidRPr="00D369C9" w14:paraId="0C8D3561" w14:textId="77777777" w:rsidTr="00941186">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481D8FF8" w14:textId="77777777" w:rsidR="00CA2B7D" w:rsidRPr="00DA7401" w:rsidRDefault="00CA2B7D" w:rsidP="00941186">
                  <w:pPr>
                    <w:rPr>
                      <w:b/>
                      <w:bCs/>
                      <w:sz w:val="18"/>
                      <w:szCs w:val="20"/>
                    </w:rPr>
                  </w:pPr>
                  <w:r w:rsidRPr="00DA7401">
                    <w:rPr>
                      <w:b/>
                      <w:bCs/>
                      <w:sz w:val="18"/>
                      <w:szCs w:val="20"/>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3128FD61" w14:textId="77777777" w:rsidR="00CA2B7D" w:rsidRPr="00D369C9" w:rsidRDefault="00CA2B7D" w:rsidP="00941186">
                  <w:pPr>
                    <w:jc w:val="left"/>
                    <w:rPr>
                      <w:sz w:val="20"/>
                      <w:szCs w:val="20"/>
                    </w:rPr>
                  </w:pPr>
                  <w:r>
                    <w:rPr>
                      <w:sz w:val="20"/>
                      <w:szCs w:val="20"/>
                    </w:rPr>
                    <w:t xml:space="preserve">1</w:t>
                  </w:r>
                </w:p>
              </w:tc>
            </w:tr>
            <w:tr w:rsidR="00CA2B7D" w:rsidRPr="00D369C9" w14:paraId="35886A8E" w14:textId="77777777" w:rsidTr="00941186">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20457420" w14:textId="77777777" w:rsidR="00CA2B7D" w:rsidRPr="00DA7401" w:rsidRDefault="00CA2B7D" w:rsidP="00941186">
                  <w:pPr>
                    <w:rPr>
                      <w:b/>
                      <w:bCs/>
                      <w:sz w:val="18"/>
                      <w:szCs w:val="20"/>
                    </w:rPr>
                  </w:pPr>
                  <w:r w:rsidRPr="00DA7401">
                    <w:rPr>
                      <w:b/>
                      <w:bCs/>
                      <w:sz w:val="18"/>
                      <w:szCs w:val="20"/>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2384B7B5" w14:textId="77777777" w:rsidR="00CA2B7D" w:rsidRPr="00D369C9" w:rsidRDefault="00CA2B7D" w:rsidP="00941186">
                  <w:pPr>
                    <w:pStyle w:val="Dizin"/>
                    <w:suppressLineNumbers w:val="0"/>
                    <w:rPr>
                      <w:rFonts w:cs="Arial"/>
                      <w:sz w:val="20"/>
                      <w:lang w:val="tr-TR"/>
                    </w:rPr>
                  </w:pPr>
                  <w:r>
                    <w:rPr>
                      <w:sz w:val="20"/>
                      <w:szCs w:val="20"/>
                    </w:rPr>
                    <w:t xml:space="preserve">LLM için Talimat Veri Kümesi Toplama ve Ön İşleme</w:t>
                  </w:r>
                </w:p>
              </w:tc>
            </w:tr>
            <w:tr w:rsidR="00CA2B7D" w:rsidRPr="00D369C9" w14:paraId="7C444765" w14:textId="77777777" w:rsidTr="00941186">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4D6C8E38" w14:textId="77777777" w:rsidR="00CA2B7D" w:rsidRPr="00DA7401" w:rsidRDefault="00CA2B7D" w:rsidP="00941186">
                  <w:pPr>
                    <w:rPr>
                      <w:b/>
                      <w:bCs/>
                      <w:sz w:val="18"/>
                      <w:szCs w:val="20"/>
                    </w:rPr>
                  </w:pPr>
                  <w:r w:rsidRPr="00DA7401">
                    <w:rPr>
                      <w:b/>
                      <w:bCs/>
                      <w:sz w:val="18"/>
                      <w:szCs w:val="20"/>
                    </w:rPr>
                    <w:t>İP Tamamlanma Durumu</w:t>
                  </w:r>
                  <w:r>
                    <w:rPr>
                      <w:b/>
                      <w:bCs/>
                      <w:sz w:val="18"/>
                      <w:szCs w:val="20"/>
                    </w:rPr>
                    <w:t xml:space="preserve"> (</w:t>
                  </w:r>
                  <w:r w:rsidRPr="00DA7401">
                    <w:rPr>
                      <w:b/>
                      <w:bCs/>
                      <w:i/>
                      <w:sz w:val="18"/>
                      <w:szCs w:val="20"/>
                    </w:rPr>
                    <w:t>Yüzde Belirtilmelidir</w:t>
                  </w:r>
                  <w:r>
                    <w:rPr>
                      <w:b/>
                      <w:bCs/>
                      <w:sz w:val="18"/>
                      <w:szCs w:val="20"/>
                    </w:rPr>
                    <w:t>)</w:t>
                  </w:r>
                </w:p>
              </w:tc>
              <w:tc>
                <w:tcPr>
                  <w:tcW w:w="6868" w:type="dxa"/>
                  <w:tcBorders>
                    <w:top w:val="single" w:sz="6" w:space="0" w:color="000000"/>
                    <w:left w:val="single" w:sz="6" w:space="0" w:color="000000"/>
                    <w:bottom w:val="single" w:sz="6" w:space="0" w:color="000000"/>
                    <w:right w:val="single" w:sz="6" w:space="0" w:color="000000"/>
                  </w:tcBorders>
                  <w:vAlign w:val="center"/>
                </w:tcPr>
                <w:p w14:paraId="5898E2DE" w14:textId="77777777" w:rsidR="00CA2B7D" w:rsidRPr="00D369C9" w:rsidRDefault="00CA2B7D" w:rsidP="00941186">
                  <w:pPr>
                    <w:pStyle w:val="Dizin"/>
                    <w:suppressLineNumbers w:val="0"/>
                    <w:rPr>
                      <w:rFonts w:cs="Arial"/>
                      <w:sz w:val="20"/>
                      <w:lang w:val="tr-TR"/>
                    </w:rPr>
                  </w:pPr>
                  <w:r>
                    <w:rPr>
                      <w:sz w:val="20"/>
                      <w:szCs w:val="20"/>
                    </w:rPr>
                    <w:t xml:space="preserve">%75</w:t>
                  </w:r>
                </w:p>
              </w:tc>
            </w:tr>
          </w:tbl>
          <w:p>
            <w:pPr>
              <w:spacing w:before="0" w:after="0"/>
              <w:jc w:val="both"/>
            </w:pPr>
          </w:p>
          <w:p w14:paraId="0B003644" w14:textId="77777777" w:rsidR="00CA2B7D" w:rsidRPr="00D369C9" w:rsidRDefault="00CA2B7D" w:rsidP="00941186">
            <w:pPr>
              <w:numPr>
                <w:ilvl w:val="0"/>
                <w:numId w:val="1"/>
              </w:numPr>
              <w:rPr>
                <w:b/>
                <w:bCs/>
                <w:sz w:val="20"/>
                <w:szCs w:val="20"/>
              </w:rPr>
            </w:pPr>
            <w:r w:rsidRPr="00D369C9">
              <w:rPr>
                <w:b/>
                <w:bCs/>
                <w:sz w:val="20"/>
                <w:szCs w:val="20"/>
              </w:rPr>
              <w:t>İP Kapsamında Yapılan Çalışmalar ve Elde Edilen Bulgular</w:t>
            </w:r>
          </w:p>
          <w:p w14:paraId="222E8C12" w14:textId="77777777" w:rsidR="00CA2B7D" w:rsidRPr="0027357B" w:rsidRDefault="00CA2B7D" w:rsidP="00941186">
            <w:pPr>
              <w:rPr>
                <w:i/>
                <w:color w:val="000000"/>
                <w:sz w:val="18"/>
                <w:szCs w:val="20"/>
              </w:rPr>
            </w:pPr>
            <w:r w:rsidRPr="0027357B">
              <w:rPr>
                <w:i/>
                <w:color w:val="000000"/>
                <w:sz w:val="18"/>
                <w:szCs w:val="20"/>
              </w:rPr>
              <w:t xml:space="preserve">İP hedeflerine yönelik yapılan çalışmalar, ulaşılan hedefler ve elde edilen bulgular ilgili literatüre atıflar yapılarak detaylı olarak sunulur ve sonuçlar tartışılır. </w:t>
            </w:r>
            <w:r w:rsidRPr="0027357B">
              <w:rPr>
                <w:i/>
                <w:sz w:val="18"/>
                <w:szCs w:val="20"/>
              </w:rPr>
              <w:t xml:space="preserve">İP kapsamında elde edilen ara çıktılara ilişkin bilgiler verilir. Ana açıklamalar dışında İP kapsamında elde edilen ara çıktılar (teknik rapor, liste, diyagram, analiz/ölçüm sonucu, algoritma, yazılım, anket formu, verim, ham veri vb.) hakkında bilgi verilir ve ara çıktılar </w:t>
            </w:r>
            <w:r w:rsidRPr="0027357B">
              <w:rPr>
                <w:i/>
                <w:sz w:val="18"/>
                <w:szCs w:val="20"/>
                <w:u w:val="single"/>
              </w:rPr>
              <w:t>ekler</w:t>
            </w:r>
            <w:r w:rsidRPr="0027357B">
              <w:rPr>
                <w:i/>
                <w:sz w:val="18"/>
                <w:szCs w:val="20"/>
              </w:rPr>
              <w:t xml:space="preserve"> bölümünde sunulur.</w:t>
            </w:r>
          </w:p>
          <w:p>
            <w:pPr>
              <w:keepNext/>
              <w:spacing w:before="200" w:after="60"/>
              <w:jc w:val="left"/>
            </w:pPr>
            <w:r>
              <w:rPr>
                <w:b/>
                <w:bCs/>
                <w:sz w:val="20"/>
                <w:szCs w:val="20"/>
              </w:rPr>
              <w:t xml:space="preserve">İP1.1 Amaç ve öneriyle ilişki</w:t>
            </w:r>
          </w:p>
          <w:p>
            <w:pPr>
              <w:spacing w:before="60" w:after="60"/>
              <w:jc w:val="both"/>
            </w:pPr>
            <w:r>
              <w:rPr>
                <w:sz w:val="20"/>
                <w:szCs w:val="20"/>
              </w:rPr>
              <w:t xml:space="preserve">İP1'in amacı, bağımlılık danışmanlığında kullanılacak Türkçe büyük dil modelinin (LLM) ince ayarı için terapötik ilkelere uygun, kültürel ve dilsel bağlamı yansıtan bir talimat veri kümesi hazırlamaktır. Öneri formunda bu iş paketi için dört hedef yer alıyor: (i) 10.000 çeşitli ve bağlama uygun talimat örneği, (ii) tutarlılık ve anlam bütünlüğü, (iii) Türkçe ve kültürel bağlama uygunluk, (iv) etik onay ve anonimleştirme.</w:t>
            </w:r>
          </w:p>
          <w:p>
            <w:pPr>
              <w:spacing w:before="60" w:after="60"/>
              <w:jc w:val="both"/>
            </w:pPr>
            <w:r>
              <w:rPr>
                <w:sz w:val="20"/>
                <w:szCs w:val="20"/>
              </w:rPr>
              <w:t xml:space="preserve">Bu hedeflere aşamalı ilerledik. Önce küçük ve her kaydı denetlenen bir çekirdek üzerinde ölçüm altyapısı kuruldu, hacim ondan sonra büyütüldü. Terapötik diyalog verisinde yargılayıcı dil, uydurulmuş bilgi ya da kriz anında yönlendirmenin unutulması gibi bir hata kalıbı, veri büyüdükçe çoğalır. Bu kalıpları yakalayan kontroller olmadan hacmi artırmak hatayı da artıracaktı. Dönemin ilk yarısı bu yüzden veri kalitesini ölçen altyapıya, ikinci yarısı hacme ayrıldı.</w:t>
            </w:r>
          </w:p>
          <w:p>
            <w:pPr>
              <w:spacing w:before="60" w:after="60"/>
              <w:jc w:val="both"/>
            </w:pPr>
            <w:r>
              <w:rPr>
                <w:sz w:val="20"/>
                <w:szCs w:val="20"/>
              </w:rPr>
              <w:t xml:space="preserve">Dönemde izlenen akış Şekil 1'dedir. Öneri formunun Şekil 1'indeki "veri toplama → ön işleme → ince ayar → değerlendirme" sırası korunmuş, araya otomatik kalite kontrolleri, LLM-judge ve uzman örneklemi eklenmiştir.</w:t>
            </w:r>
          </w:p>
          <w:p>
            <w:pPr>
              <w:keepNext/>
              <w:spacing w:before="120" w:after="0"/>
              <w:jc w:val="center"/>
            </w:pPr>
            <w:r>
              <w:drawing>
                <wp:inline distT="0" distB="0" distL="0" distR="0">
                  <wp:extent cx="5760000" cy="2434415"/>
                  <wp:docPr id="1" name="Şekil 1"/>
                  <a:graphic xmlns:a="http://schemas.openxmlformats.org/drawingml/2006/main">
                    <a:graphicData uri="http://schemas.openxmlformats.org/drawingml/2006/picture">
                      <pic:pic xmlns:pic="http://schemas.openxmlformats.org/drawingml/2006/picture">
                        <pic:nvPicPr>
                          <pic:cNvPr id="1" name="sekil1.png"/>
                          <pic:cNvPicPr/>
                        </pic:nvPicPr>
                        <pic:blipFill>
                          <a:blip r:embed="rIdSekil1"/>
                          <a:stretch>
                            <a:fillRect/>
                          </a:stretch>
                        </pic:blipFill>
                        <pic:spPr>
                          <a:xfrm>
                            <a:off x="0" y="0"/>
                            <a:ext cx="5760000" cy="2434415"/>
                          </a:xfrm>
                          <a:prstGeom prst="rect">
                            <a:avLst/>
                          </a:prstGeom>
                        </pic:spPr>
                      </pic:pic>
                    </a:graphicData>
                  </a:graphic>
                </wp:inline>
              </w:drawing>
            </w:r>
          </w:p>
          <w:p>
            <w:pPr>
              <w:spacing w:before="40" w:after="160"/>
              <w:jc w:val="center"/>
            </w:pPr>
            <w:r>
              <w:rPr>
                <w:sz w:val="17"/>
                <w:szCs w:val="17"/>
              </w:rPr>
              <w:t xml:space="preserve">Şekil 1. İP1 ve İP2'de gerçekleşen boru hattı. Üst sıra veri kümesinin üretimini (İP1), alt sıra ince ayar ve değerlendirmeyi (İP2) gösterir; kesikli oklar geri besleme döngüleridir.</w:t>
            </w:r>
          </w:p>
          <w:p>
            <w:pPr>
              <w:keepNext/>
              <w:spacing w:before="200" w:after="60"/>
              <w:jc w:val="left"/>
            </w:pPr>
            <w:r>
              <w:rPr>
                <w:b/>
                <w:bCs/>
                <w:sz w:val="20"/>
                <w:szCs w:val="20"/>
              </w:rPr>
              <w:t xml:space="preserve">İP1.2 Seed'ler ve taksonomi</w:t>
            </w:r>
          </w:p>
          <w:p>
            <w:pPr>
              <w:spacing w:before="60" w:after="60"/>
              <w:jc w:val="both"/>
            </w:pPr>
            <w:r>
              <w:rPr>
                <w:sz w:val="20"/>
                <w:szCs w:val="20"/>
              </w:rPr>
              <w:t xml:space="preserve">Çıkış noktası, proje ekibinin önceki çalışmalarında hazırlanmış 2.240 kayıtlık Türkçe danışan mesajı korpusudur. Bu kayıtları önce uzmanlara incelettik; olumlu geri dönüş aldıktan sonra projede kullanmaya karar verdik. Korpusu senaryo seed'i olarak kullandık: her seed bir danışan durumunu (bağımlılık türü, evre, motivasyon, stres kaynağı) taşıyor, danışman cevabı ise bu duruma göre terapötik çerçeve izlenerek yazılıyor.</w:t>
            </w:r>
          </w:p>
          <w:p>
            <w:pPr>
              <w:spacing w:before="60" w:after="60"/>
              <w:jc w:val="both"/>
            </w:pPr>
            <w:r>
              <w:rPr>
                <w:sz w:val="20"/>
                <w:szCs w:val="20"/>
              </w:rPr>
              <w:t xml:space="preserve">Korpustaki kayıtların etiketleri serbest metin olarak yazılmıştı; aynı durum farklı kayıtlarda farklı adlarla geçiyordu. Bu etiketleri ortak bir listeye (taksonomi) bağladık. Listede 6 bağımlılık türü (tütün, alkol, kumar, reçeteli ilaç, madde, dijital), 19 senaryo tipi, 10 danışan profili, 7 evre, 5 motivasyon evresi, 4 risk düzeyi ve 8 üslup bulunuyor. Bu sırada "stres tipi" alanının iki farklı şeyi birlikte tuttuğunu gördük: danışmanın karşılaştığı durum ve danışanın stres kaynağı. Bu alanı ikiye böldük. Sonuçta 15 alanın 13'ü kayıtların tamamında doldu; stres tipi kayıtların %98,4'ünde, senaryo %76,3'ünde belirlenebildi. Senaryosu belirlenemeyen 531 kayda (%24) tahmini etiket vermedik, senaryoyu üretim sırasında atadık.</w:t>
            </w:r>
          </w:p>
          <w:p>
            <w:pPr>
              <w:spacing w:before="60" w:after="60"/>
              <w:jc w:val="both"/>
            </w:pPr>
            <w:r>
              <w:rPr>
                <w:sz w:val="20"/>
                <w:szCs w:val="20"/>
              </w:rPr>
              <w:t xml:space="preserve">Ham korpusta 186 kayıtta telefon numarası geçiyordu (182 numarası 128, 112 numarası 102 kez) ve bunların bir kısmı yanlış bağlamdaydı. Örneğin 182, MHRS randevu hattıdır, kriz hattı değildir. Bu yüzden telefon numaralarının model ağırlıklarına girmemesine karar verildi. Numara içeren her üretim otomatik kontrollerde işaretleniyor; hat numarası ve kurum adı gibi kriz kaynak bilgisinin uygulama katmanından verilmesi öngörülüyor (bkz. Bölüm İP2.9).</w:t>
            </w:r>
          </w:p>
          <w:p>
            <w:pPr>
              <w:keepNext/>
              <w:spacing w:before="200" w:after="60"/>
              <w:jc w:val="left"/>
            </w:pPr>
            <w:r>
              <w:rPr>
                <w:b/>
                <w:bCs/>
                <w:sz w:val="20"/>
                <w:szCs w:val="20"/>
              </w:rPr>
              <w:t xml:space="preserve">İP1.3 Terapötik çerçeve ve davranış kuralları</w:t>
            </w:r>
          </w:p>
          <w:p>
            <w:pPr>
              <w:spacing w:before="60" w:after="60"/>
              <w:jc w:val="both"/>
            </w:pPr>
            <w:r>
              <w:rPr>
                <w:sz w:val="20"/>
                <w:szCs w:val="20"/>
              </w:rPr>
              <w:t xml:space="preserve">Danışman cevaplarının uyması gereken davranış, literatüre dayanan bir terapötik çerçeve olarak yazıldı. Çerçevenin temeli Motivasyonel Görüşme'dir (MG; SAMHSA, 2019): iş birliği, kabul, şefkat ve uyandırma ruhu; açık uçlu soru, onaylama, yansıtma ve özetleme becerileri; değişim konuşmasının uyandırılması. MG uyumu için Motivasyonel Görüşme Tedavi Bütünlüğü kodlama el kitabındaki eşikler (Moyers vd., 2016) kullanıldı. Bunlara bilişsel davranışçı terapinin (BDT) temel ilkeleri, Marlatt ve Gordon'un kayma ile nüksü ayıran nüks önleme modeli (Larimer vd., 1999), kriz durumları için Stanley ve Brown'un Güvenlik Planı (Stanley ve Brown, 2012) ve empatiyi duygusal tepki, yorumlama ve keşif boyutlarında ölçen EPITOME çerçevesi (Sharma vd., 2020) eklendi. Damgalayıcı dilden kaçınmada NIDA'nın "Words Matter" kılavuzu, LLM'lerin sycophancy eğilimine karşı da Cheng vd. (2025) esas alındı.</w:t>
            </w:r>
          </w:p>
          <w:p>
            <w:pPr>
              <w:spacing w:before="60" w:after="60"/>
              <w:jc w:val="both"/>
            </w:pPr>
            <w:r>
              <w:rPr>
                <w:sz w:val="20"/>
                <w:szCs w:val="20"/>
              </w:rPr>
              <w:t xml:space="preserve">Çerçeveyi üretimde ve değerlendirmede doğrudan kullanabilmek için iki belgeye dönüştürdük:</w:t>
            </w:r>
          </w:p>
          <w:p>
            <w:pPr>
              <w:numPr>
                <w:ilvl w:val="0"/>
                <w:numId w:val="101"/>
              </w:numPr>
              <w:spacing w:before="20" w:after="20"/>
              <w:jc w:val="both"/>
            </w:pPr>
            <w:r>
              <w:rPr>
                <w:sz w:val="20"/>
                <w:szCs w:val="20"/>
              </w:rPr>
              <w:t xml:space="preserve">19 davranış yönergesi. Her yönerge bir terapötik durumu (ambivalans, inkâr, rol sınırının zorlanması, kayma sonrası utanç, hukuki kaygı vb.) ele alıyor ve o durumda danışmanın ne yapması, neden kaçınması gerektiğini yazıyor. Hukuki kaygı ve sanrılı söylem yönergeleri uzman onayı gelene kadar taslak durumunda.</w:t>
            </w:r>
          </w:p>
          <w:p>
            <w:pPr>
              <w:numPr>
                <w:ilvl w:val="0"/>
                <w:numId w:val="101"/>
              </w:numPr>
              <w:spacing w:before="20" w:after="20"/>
              <w:jc w:val="both"/>
            </w:pPr>
            <w:r>
              <w:rPr>
                <w:sz w:val="20"/>
                <w:szCs w:val="20"/>
              </w:rPr>
              <w:t xml:space="preserve">Yasak ifade listesi. Etiketleme, emredici kip, boş güvence, utanç büyütme, zararlı normalleştirme, ahlaki yargılı klinik dil, rol sınırı ihlali ve kriz yasakları başlıklarında 8 kategoride 38 ifade var. Kriz yasakları kesin kuraldır, tek bir eşleşme kaydı eler. Rol sınırı ifadeleri ise doğru retlerde de ("ben teşhis koyamam") geçtiği için yalnızca işaretlenir.</w:t>
            </w:r>
          </w:p>
          <w:p>
            <w:pPr>
              <w:keepNext/>
              <w:spacing w:before="200" w:after="60"/>
              <w:jc w:val="left"/>
            </w:pPr>
            <w:r>
              <w:rPr>
                <w:b/>
                <w:bCs/>
                <w:sz w:val="20"/>
                <w:szCs w:val="20"/>
              </w:rPr>
              <w:t xml:space="preserve">İP1.4 Veri karışımı: senaryo, bağımlılık türü ve mesaj biçimi</w:t>
            </w:r>
          </w:p>
          <w:p>
            <w:pPr>
              <w:spacing w:before="60" w:after="60"/>
              <w:jc w:val="both"/>
            </w:pPr>
            <w:r>
              <w:rPr>
                <w:sz w:val="20"/>
                <w:szCs w:val="20"/>
              </w:rPr>
              <w:t xml:space="preserve">Bağımlılık türlerinin ağırlıkları Türkiye verilerine göre belirlendi: alkol ~%30, tütün ~%25, kumar ~%25, madde ~%20. Dayanak olarak TUBİM verileri (15–64 yaşta tütün kullanımı ~%47, alkol ~%22,1, yasa dışı madde %2,7) ve Yeşilay'ın 2025 kumar verisi (yetişkinlerin %10,1'i, yaklaşık 6,8 milyon kişi) alındı. Tedaviye geliş motivasyonu (içsel, aile baskısı, yasal zorunluluk) ayrı bir eksen olarak modellendi.</w:t>
            </w:r>
          </w:p>
          <w:p>
            <w:pPr>
              <w:spacing w:before="60" w:after="60"/>
              <w:jc w:val="both"/>
            </w:pPr>
            <w:r>
              <w:rPr>
                <w:rFonts w:ascii="Consolas" w:hAnsi="Consolas" w:cs="Consolas"/>
                <w:sz w:val="18"/>
                <w:szCs w:val="18"/>
              </w:rPr>
              <w:t xml:space="preserve">v0.1.0</w:t>
            </w:r>
            <w:r>
              <w:rPr>
                <w:sz w:val="20"/>
                <w:szCs w:val="20"/>
              </w:rPr>
              <w:t xml:space="preserve"> sürümünün senaryo ve bağımlılık türü dağılımı Şekil 2'de görülüyor. Öneri formunun Tablo 4'ündeki senaryo tipleri bu dağılımda yer alıyor, iki farkla. Kriz yönetimi dilimi, kriz davranışı uzman ve etik kurul onayı gerektirdiği için bu dönem üretilmedi (Bölüm İP1.10). Bilgilendirme senaryosunu ise bilerek az tuttuk ve RAG modülüne (İP3) bıraktık, çünkü güncel ve doğru bilginin modelin ezberinden çok doğrulanmış kaynaklardan gelmesi gerekiyor. Yasa dışı madde türü seed korpusunda hiç bulunmadığı için bu dönem temsil edilemedi.</w:t>
            </w:r>
          </w:p>
          <w:p>
            <w:pPr>
              <w:keepNext/>
              <w:spacing w:before="120" w:after="0"/>
              <w:jc w:val="center"/>
            </w:pPr>
            <w:r>
              <w:drawing>
                <wp:inline distT="0" distB="0" distL="0" distR="0">
                  <wp:extent cx="5760000" cy="2221631"/>
                  <wp:docPr id="2" name="Şekil 2"/>
                  <a:graphic xmlns:a="http://schemas.openxmlformats.org/drawingml/2006/main">
                    <a:graphicData uri="http://schemas.openxmlformats.org/drawingml/2006/picture">
                      <pic:pic xmlns:pic="http://schemas.openxmlformats.org/drawingml/2006/picture">
                        <pic:nvPicPr>
                          <pic:cNvPr id="2" name="sekil2.png"/>
                          <pic:cNvPicPr/>
                        </pic:nvPicPr>
                        <pic:blipFill>
                          <a:blip r:embed="rIdSekil2"/>
                          <a:stretch>
                            <a:fillRect/>
                          </a:stretch>
                        </pic:blipFill>
                        <pic:spPr>
                          <a:xfrm>
                            <a:off x="0" y="0"/>
                            <a:ext cx="5760000" cy="2221631"/>
                          </a:xfrm>
                          <a:prstGeom prst="rect">
                            <a:avLst/>
                          </a:prstGeom>
                        </pic:spPr>
                      </pic:pic>
                    </a:graphicData>
                  </a:graphic>
                </wp:inline>
              </w:drawing>
            </w:r>
          </w:p>
          <w:p>
            <w:pPr>
              <w:spacing w:before="40" w:after="160"/>
              <w:jc w:val="center"/>
            </w:pPr>
            <w:r>
              <w:rPr>
                <w:sz w:val="17"/>
                <w:szCs w:val="17"/>
              </w:rPr>
              <w:t xml:space="preserve">Şekil 2. v0.1.0 veri kümesinde senaryo ve bağımlılık türü dağılımı (genel yetenek koruma amaçlı 18 replay kaydı hariç, n = 1040). Kriz dilimi işaretli kayıt sayısı 0'dır; senaryo alanı "kriz" olan 2 kayıt bu dilime ait değildir.</w:t>
            </w:r>
          </w:p>
          <w:p>
            <w:pPr>
              <w:spacing w:before="60" w:after="60"/>
              <w:jc w:val="both"/>
            </w:pPr>
            <w:r>
              <w:rPr>
                <w:sz w:val="20"/>
                <w:szCs w:val="20"/>
              </w:rPr>
              <w:t xml:space="preserve">Veri kümesi, sahada karşılaşılacak etkileşim tiplerine göre dilimlere ayrıldı: tek turlu danışmanlık (%40,3), çok turlu danışmanlık (%34,1), rol sınırı (%18,1), nazikçe karşı çıkma (%15,0), inkâr (%4,4), RAG bağlamıyla cevaplama (%23,9) ve genel yetenek koruması (replay, %1,7). Dilimler örtüşebildiği için toplam %100'ü geçiyor.</w:t>
            </w:r>
          </w:p>
          <w:p>
            <w:pPr>
              <w:spacing w:before="60" w:after="60"/>
              <w:jc w:val="both"/>
            </w:pPr>
            <w:r>
              <w:rPr>
                <w:sz w:val="20"/>
                <w:szCs w:val="20"/>
              </w:rPr>
              <w:t xml:space="preserve">Danışan mesajlarının biçimine de ayrıca bakıldı. Seed korpusunda mesajların ortanca uzunluğu 36 sözcük ve %96,8'i düzgün noktalamayla bitiyor; bu, gerçek kullanıcıdan çok onu üreten modelin üslubuna benziyor. Kısa (1–8 sözcük), orta ve uzun mesajlar için hedef oranlar bu yüzden tanımlandı. </w:t>
            </w:r>
            <w:r>
              <w:rPr>
                <w:rFonts w:ascii="Consolas" w:hAnsi="Consolas" w:cs="Consolas"/>
                <w:sz w:val="18"/>
                <w:szCs w:val="18"/>
              </w:rPr>
              <w:t xml:space="preserve">v0.1.0</w:t>
            </w:r>
            <w:r>
              <w:rPr>
                <w:sz w:val="20"/>
                <w:szCs w:val="20"/>
              </w:rPr>
              <w:t xml:space="preserve">'da dağılım kısa %35,6, orta %29,1, uzun %35,3 olarak gerçekleşti.</w:t>
            </w:r>
          </w:p>
          <w:p>
            <w:pPr>
              <w:keepNext/>
              <w:spacing w:before="200" w:after="60"/>
              <w:jc w:val="left"/>
            </w:pPr>
            <w:r>
              <w:rPr>
                <w:b/>
                <w:bCs/>
                <w:sz w:val="20"/>
                <w:szCs w:val="20"/>
              </w:rPr>
              <w:t xml:space="preserve">İP1.5 Üretim boru hattı</w:t>
            </w:r>
          </w:p>
          <w:p>
            <w:pPr>
              <w:spacing w:before="60" w:after="60"/>
              <w:jc w:val="both"/>
            </w:pPr>
            <w:r>
              <w:rPr>
                <w:sz w:val="20"/>
                <w:szCs w:val="20"/>
              </w:rPr>
              <w:t xml:space="preserve">Talimat örnekleri seed'lerden şu adımlarla üretildi (Şekil 1):</w:t>
            </w:r>
          </w:p>
          <w:p>
            <w:pPr>
              <w:numPr>
                <w:ilvl w:val="0"/>
                <w:numId w:val="201"/>
              </w:numPr>
              <w:spacing w:before="20" w:after="20"/>
              <w:jc w:val="both"/>
            </w:pPr>
            <w:r>
              <w:rPr>
                <w:sz w:val="20"/>
                <w:szCs w:val="20"/>
              </w:rPr>
              <w:t xml:space="preserve">Seed seçimi. Değerlendirme setlerinde kullanılan seed'ler dışarıda bırakılıp taksonomiye göre tabakalı seçim yapılır.</w:t>
            </w:r>
          </w:p>
          <w:p>
            <w:pPr>
              <w:numPr>
                <w:ilvl w:val="0"/>
                <w:numId w:val="201"/>
              </w:numPr>
              <w:spacing w:before="20" w:after="20"/>
              <w:jc w:val="both"/>
            </w:pPr>
            <w:r>
              <w:rPr>
                <w:sz w:val="20"/>
                <w:szCs w:val="20"/>
              </w:rPr>
              <w:t xml:space="preserve">Üretim. Her kayıt için danışan mesaj(lar)ı, danışmanın reasoning'i (thinking) ve danışman cevabı yazılır. Bu iş LLM subagent'larıyla, davranış yönergeleri ve yasak listesi bağlama konarak yapıldı.</w:t>
            </w:r>
          </w:p>
          <w:p>
            <w:pPr>
              <w:numPr>
                <w:ilvl w:val="0"/>
                <w:numId w:val="201"/>
              </w:numPr>
              <w:spacing w:before="20" w:after="20"/>
              <w:jc w:val="both"/>
            </w:pPr>
            <w:r>
              <w:rPr>
                <w:sz w:val="20"/>
                <w:szCs w:val="20"/>
              </w:rPr>
              <w:t xml:space="preserve">Otomatik kontroller. Kayıt sırasıyla şema geçerliliği, tur yapısı, dilim ve bağlam kuralları, thinking'in Türkçe olması, yasak ifade ve telefon numarası taraması, soru sayısı (cevap başına en çok bir soru), yansıtma/soru oranı, uzunluk ve thinking/cevap oranı sınırları ile exact-duplicate denetiminden geçer. Herhangi bir kontrolden geçemeyen kayıt elenir.</w:t>
            </w:r>
          </w:p>
          <w:p>
            <w:pPr>
              <w:numPr>
                <w:ilvl w:val="0"/>
                <w:numId w:val="201"/>
              </w:numPr>
              <w:spacing w:before="20" w:after="20"/>
              <w:jc w:val="both"/>
            </w:pPr>
            <w:r>
              <w:rPr>
                <w:sz w:val="20"/>
                <w:szCs w:val="20"/>
              </w:rPr>
              <w:t xml:space="preserve">LLM-judge. Kontrollerden geçen kayıtları bir değerlendirici model EPITOME empati boyutları, MG uyumu, tuzak ihlali, klinik güvenlik ihlali, rol sınırı ihlali ve grounding (hallucination) açısından puanlar. Klinik güvenlik ihlali ya da hallucination içeren kayıtlar derlemede elenir.</w:t>
            </w:r>
          </w:p>
          <w:p>
            <w:pPr>
              <w:numPr>
                <w:ilvl w:val="0"/>
                <w:numId w:val="201"/>
              </w:numPr>
              <w:spacing w:before="20" w:after="20"/>
              <w:jc w:val="both"/>
            </w:pPr>
            <w:r>
              <w:rPr>
                <w:sz w:val="20"/>
                <w:szCs w:val="20"/>
              </w:rPr>
              <w:t xml:space="preserve">Immutable sürüm. Kalan kayıtlar sürüm numarasıyla derlenir. Her sürümün bir manifesti (girdi dosyasının SHA-256 özeti, kod sürümü, tarih, eleme gerekçeleri) ve </w:t>
            </w:r>
            <w:r>
              <w:rPr>
                <w:i/>
                <w:iCs/>
                <w:sz w:val="20"/>
                <w:szCs w:val="20"/>
              </w:rPr>
              <w:t xml:space="preserve">Datasheets for Datasets</w:t>
            </w:r>
            <w:r>
              <w:rPr>
                <w:sz w:val="20"/>
                <w:szCs w:val="20"/>
              </w:rPr>
              <w:t xml:space="preserve"> yapısında bir veri kartı (Gebru vd., 2021) vardır. Var olan bir sürümün üzerine yazılamaz.</w:t>
            </w:r>
          </w:p>
          <w:p>
            <w:pPr>
              <w:spacing w:before="60" w:after="60"/>
              <w:jc w:val="both"/>
            </w:pPr>
            <w:r>
              <w:rPr>
                <w:sz w:val="20"/>
                <w:szCs w:val="20"/>
              </w:rPr>
              <w:t xml:space="preserve">Boru hattındaki bütün LLM çağrıları content hash ile cache'lendi, yani aynı girdi her zaman aynı çıktıyı veriyor. Bunu sınamak için beş sürüm baştan üretildi ve bayt bayt aynı çıktı.</w:t>
            </w:r>
          </w:p>
          <w:p>
            <w:pPr>
              <w:keepNext/>
              <w:spacing w:before="200" w:after="60"/>
              <w:jc w:val="left"/>
            </w:pPr>
            <w:r>
              <w:rPr>
                <w:b/>
                <w:bCs/>
                <w:sz w:val="20"/>
                <w:szCs w:val="20"/>
              </w:rPr>
              <w:t xml:space="preserve">İP1.6 Ön işleme, biçim ve anonimleştirme</w:t>
            </w:r>
          </w:p>
          <w:p>
            <w:pPr>
              <w:spacing w:before="60" w:after="60"/>
              <w:jc w:val="both"/>
            </w:pPr>
            <w:r>
              <w:rPr>
                <w:sz w:val="20"/>
                <w:szCs w:val="20"/>
              </w:rPr>
              <w:t xml:space="preserve">Öneri formunda sayılan ön işleme adımlarının karşılığı aşağıdadır.</w:t>
            </w:r>
          </w:p>
          <w:p>
            <w:pPr>
              <w:spacing w:before="60" w:after="60"/>
              <w:jc w:val="both"/>
            </w:pPr>
            <w:r>
              <w:rPr>
                <w:sz w:val="20"/>
                <w:szCs w:val="20"/>
              </w:rPr>
              <w:t xml:space="preserve">Her kayıt, doğrulanan bir şemaya göre JSONL satırı olarak saklanıyor. Şemada kimlik, dilim, senaryo, bağımlılık türü, motivasyon, MG süreci, yaş grubu, tur tipi, mesajlar, bağlam, kaynak seed'ler, kriz/negatif örnek işaretleri, judge sonucu ve üretim meta verisi yer alıyor. Mesajlar sistem / danışan / danışman rolleriyle etiketlenip modelin chat template'indeki rollere eşleniyor.</w:t>
            </w:r>
          </w:p>
          <w:p>
            <w:pPr>
              <w:spacing w:before="60" w:after="60"/>
              <w:jc w:val="both"/>
            </w:pPr>
            <w:r>
              <w:rPr>
                <w:sz w:val="20"/>
                <w:szCs w:val="20"/>
              </w:rPr>
              <w:t xml:space="preserve">Her eğitim örneği, kullanıcıya gösterilmeyen bir reasoning (thinking) ile danışman cevabından oluşuyor. Çalışma sırasında modelin resmî chat template'inin eğitimde thinking içeriğini sessizce sildiğini fark ettik. Template'i yalnızca son danışman turunun thinking'ini koruyacak şekilde yamaladık. Yamalı template'in ürettiği prompt, resmî template'in thinking açık hâliyle bayt bayt aynı.</w:t>
            </w:r>
          </w:p>
          <w:p>
            <w:pPr>
              <w:spacing w:before="60" w:after="60"/>
              <w:jc w:val="both"/>
            </w:pPr>
            <w:r>
              <w:rPr>
                <w:sz w:val="20"/>
                <w:szCs w:val="20"/>
              </w:rPr>
              <w:t xml:space="preserve">Veri tamamen sentetik ve gerçek kişi verisi içermiyor. Bunu ayrıca ölçtük: e-posta, web adresi, cep ve sabit telefon, sağlama toplamı tutan TC kimlik numarası, IBAN, kart numarası, açık adres ve doğum tarihi desenlerinin hiçbiri 1058 kayıtta çıkmadı. Desenler her çalıştırmada bilinen örnekler üzerinde kendini sınıyor. Kişi adı taraması yapılmadı.</w:t>
            </w:r>
          </w:p>
          <w:p>
            <w:pPr>
              <w:spacing w:before="60" w:after="60"/>
              <w:jc w:val="both"/>
            </w:pPr>
            <w:r>
              <w:rPr>
                <w:sz w:val="20"/>
                <w:szCs w:val="20"/>
              </w:rPr>
              <w:t xml:space="preserve">Öneri formundaki pozitif/negatif/nötr duygu tonu etiketlemesi bu dönem yapılmadı. Bu etiket İP4'teki duygu analizi ajanının girdisi olacağı için şemasının o ajanla birlikte belirlenmesi planlanıyor.</w:t>
            </w:r>
          </w:p>
          <w:p>
            <w:pPr>
              <w:keepNext/>
              <w:spacing w:before="200" w:after="60"/>
              <w:jc w:val="left"/>
            </w:pPr>
            <w:r>
              <w:rPr>
                <w:b/>
                <w:bCs/>
                <w:sz w:val="20"/>
                <w:szCs w:val="20"/>
              </w:rPr>
              <w:t xml:space="preserve">İP1.7 Kalite güvencesi: LLM-judge ve uzman değerlendirmesi</w:t>
            </w:r>
          </w:p>
          <w:p>
            <w:pPr>
              <w:spacing w:before="60" w:after="60"/>
              <w:jc w:val="both"/>
            </w:pPr>
            <w:r>
              <w:rPr>
                <w:sz w:val="20"/>
                <w:szCs w:val="20"/>
              </w:rPr>
              <w:t xml:space="preserve">LLM'lerin kendi çıktılarını ya da aynı ailedeki modellerin çıktılarını daha yüksek puanladığı biliniyor (Zheng vd., 2023). Bu etkiyi kendi verimizde de ölçtük. Aynı kayıtlara verilen ortalama puan bağımsız bir judge'da 0,825, üreticiyle aynı ailedeki judge'da 0,878 (+%6,4), üreticinin kendisinde 0,924 (+%11,9) çıktı. Şişme öznel boyutlarda görüldü (MG uyumu 3,90 / 4,55 / 4,80), context fidelity'de görülmedi (4,95 / 4,90 / 4,95). Dönem içinde judge modeli sırasıyla Qwen3.8-27B, Gemini 3.8 Flash ve kör iş dosyalarıyla çalışan Claude Sonnet oldu. </w:t>
            </w:r>
            <w:r>
              <w:rPr>
                <w:rFonts w:ascii="Consolas" w:hAnsi="Consolas" w:cs="Consolas"/>
                <w:sz w:val="18"/>
                <w:szCs w:val="18"/>
              </w:rPr>
              <w:t xml:space="preserve">v0.1.0</w:t>
            </w:r>
            <w:r>
              <w:rPr>
                <w:sz w:val="20"/>
                <w:szCs w:val="20"/>
              </w:rPr>
              <w:t xml:space="preserve">'da 894 kaydı Claude Sonnet, 146 kaydı Gemini değerlendirdi; 18 replay kaydı muaf tutuldu. Judge'ın tutarlılığını da ölçtük: aynı kayıtlar yeniden puanlandığında context fidelity ve MG uyumunda puanların %100'ü, duygusal tepkide %70'i, yorumlamada %65'i aynı kaldı.</w:t>
            </w:r>
          </w:p>
          <w:p>
            <w:pPr>
              <w:spacing w:before="60" w:after="60"/>
              <w:jc w:val="both"/>
            </w:pPr>
            <w:r>
              <w:rPr>
                <w:sz w:val="20"/>
                <w:szCs w:val="20"/>
              </w:rPr>
              <w:t xml:space="preserve">Veri kümesinden rastgele seçilen 70 kaydın 50'sini bir klinik uzman puanladı (Tablo 1). Uzman kayıtların %68'ini doğrudan kabul etti, %22'sini sınırda buldu, %10'unu reddetti. Sınırda olanlarla birlikte kabul edilebilir oran %90. Klinik güvenlik ve rol sınırı ihlali ne uzmanın ne de judge'ın değerlendirmesinde 50 kaydın hiçbirinde çıkmadı.</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4284"/>
              <w:gridCol w:w="2601"/>
              <w:gridCol w:w="2295"/>
            </w:tblGrid>
            <w:tr>
              <w:trPr>
                <w:cantSplit/>
                <w:tblHeader/>
              </w:trPr>
              <w:tc>
                <w:tcPr>
                  <w:tcW w:w="4284" w:type="dxa"/>
                  <w:shd w:val="clear" w:color="auto" w:fill="E7E6E6"/>
                  <w:tcMar>
                    <w:top w:w="30" w:type="dxa"/>
                    <w:bottom w:w="30" w:type="dxa"/>
                  </w:tcMar>
                  <w:vAlign w:val="center"/>
                </w:tcPr>
                <w:p>
                  <w:pPr>
                    <w:spacing w:before="0" w:after="0"/>
                    <w:jc w:val="left"/>
                  </w:pPr>
                  <w:r>
                    <w:rPr>
                      <w:b/>
                      <w:bCs/>
                      <w:sz w:val="17"/>
                      <w:szCs w:val="17"/>
                    </w:rPr>
                    <w:t xml:space="preserve">Ölçü</w:t>
                  </w:r>
                </w:p>
              </w:tc>
              <w:tc>
                <w:tcPr>
                  <w:tcW w:w="2601" w:type="dxa"/>
                  <w:shd w:val="clear" w:color="auto" w:fill="E7E6E6"/>
                  <w:tcMar>
                    <w:top w:w="30" w:type="dxa"/>
                    <w:bottom w:w="30" w:type="dxa"/>
                  </w:tcMar>
                  <w:vAlign w:val="center"/>
                </w:tcPr>
                <w:p>
                  <w:pPr>
                    <w:spacing w:before="0" w:after="0"/>
                    <w:jc w:val="left"/>
                  </w:pPr>
                  <w:r>
                    <w:rPr>
                      <w:b/>
                      <w:bCs/>
                      <w:sz w:val="17"/>
                      <w:szCs w:val="17"/>
                    </w:rPr>
                    <w:t xml:space="preserve">Uzman</w:t>
                  </w:r>
                </w:p>
              </w:tc>
              <w:tc>
                <w:tcPr>
                  <w:tcW w:w="2295" w:type="dxa"/>
                  <w:shd w:val="clear" w:color="auto" w:fill="E7E6E6"/>
                  <w:tcMar>
                    <w:top w:w="30" w:type="dxa"/>
                    <w:bottom w:w="30" w:type="dxa"/>
                  </w:tcMar>
                  <w:vAlign w:val="center"/>
                </w:tcPr>
                <w:p>
                  <w:pPr>
                    <w:spacing w:before="0" w:after="0"/>
                    <w:jc w:val="left"/>
                  </w:pPr>
                  <w:r>
                    <w:rPr>
                      <w:b/>
                      <w:bCs/>
                      <w:sz w:val="17"/>
                      <w:szCs w:val="17"/>
                    </w:rPr>
                    <w:t xml:space="preserve">LLM-judge</w:t>
                  </w:r>
                </w:p>
              </w:tc>
            </w:tr>
            <w:tr>
              <w:trPr>
                <w:cantSplit/>
              </w:trPr>
              <w:tc>
                <w:tcPr>
                  <w:tcW w:w="4284" w:type="dxa"/>
                  <w:tcMar>
                    <w:top w:w="30" w:type="dxa"/>
                    <w:bottom w:w="30" w:type="dxa"/>
                  </w:tcMar>
                  <w:vAlign w:val="center"/>
                </w:tcPr>
                <w:p>
                  <w:pPr>
                    <w:spacing w:before="0" w:after="0"/>
                    <w:jc w:val="left"/>
                  </w:pPr>
                  <w:r>
                    <w:rPr>
                      <w:sz w:val="17"/>
                      <w:szCs w:val="17"/>
                    </w:rPr>
                    <w:t xml:space="preserve">Kabul / sınırda / ret</w:t>
                  </w:r>
                </w:p>
              </w:tc>
              <w:tc>
                <w:tcPr>
                  <w:tcW w:w="2601" w:type="dxa"/>
                  <w:tcMar>
                    <w:top w:w="30" w:type="dxa"/>
                    <w:bottom w:w="30" w:type="dxa"/>
                  </w:tcMar>
                  <w:vAlign w:val="center"/>
                </w:tcPr>
                <w:p>
                  <w:pPr>
                    <w:spacing w:before="0" w:after="0"/>
                    <w:jc w:val="right"/>
                  </w:pPr>
                  <w:r>
                    <w:rPr>
                      <w:sz w:val="17"/>
                      <w:szCs w:val="17"/>
                    </w:rPr>
                    <w:t xml:space="preserve">34 / 11 / 5</w:t>
                  </w:r>
                </w:p>
              </w:tc>
              <w:tc>
                <w:tcPr>
                  <w:tcW w:w="2295" w:type="dxa"/>
                  <w:tcMar>
                    <w:top w:w="30" w:type="dxa"/>
                    <w:bottom w:w="30" w:type="dxa"/>
                  </w:tcMar>
                  <w:vAlign w:val="center"/>
                </w:tcPr>
                <w:p>
                  <w:pPr>
                    <w:spacing w:before="0" w:after="0"/>
                    <w:jc w:val="right"/>
                  </w:pPr>
                  <w:r>
                    <w:rPr>
                      <w:sz w:val="17"/>
                      <w:szCs w:val="17"/>
                    </w:rPr>
                    <w:t xml:space="preserve">—</w:t>
                  </w:r>
                </w:p>
              </w:tc>
            </w:tr>
            <w:tr>
              <w:trPr>
                <w:cantSplit/>
              </w:trPr>
              <w:tc>
                <w:tcPr>
                  <w:tcW w:w="4284" w:type="dxa"/>
                  <w:tcMar>
                    <w:top w:w="30" w:type="dxa"/>
                    <w:bottom w:w="30" w:type="dxa"/>
                  </w:tcMar>
                  <w:vAlign w:val="center"/>
                </w:tcPr>
                <w:p>
                  <w:pPr>
                    <w:spacing w:before="0" w:after="0"/>
                    <w:jc w:val="left"/>
                  </w:pPr>
                  <w:r>
                    <w:rPr>
                      <w:sz w:val="17"/>
                      <w:szCs w:val="17"/>
                    </w:rPr>
                    <w:t xml:space="preserve">Klinik güvenlik ihlali</w:t>
                  </w:r>
                </w:p>
              </w:tc>
              <w:tc>
                <w:tcPr>
                  <w:tcW w:w="2601" w:type="dxa"/>
                  <w:tcMar>
                    <w:top w:w="30" w:type="dxa"/>
                    <w:bottom w:w="30" w:type="dxa"/>
                  </w:tcMar>
                  <w:vAlign w:val="center"/>
                </w:tcPr>
                <w:p>
                  <w:pPr>
                    <w:spacing w:before="0" w:after="0"/>
                    <w:jc w:val="right"/>
                  </w:pPr>
                  <w:r>
                    <w:rPr>
                      <w:sz w:val="17"/>
                      <w:szCs w:val="17"/>
                    </w:rPr>
                    <w:t xml:space="preserve">0/50</w:t>
                  </w:r>
                </w:p>
              </w:tc>
              <w:tc>
                <w:tcPr>
                  <w:tcW w:w="2295" w:type="dxa"/>
                  <w:tcMar>
                    <w:top w:w="30" w:type="dxa"/>
                    <w:bottom w:w="30" w:type="dxa"/>
                  </w:tcMar>
                  <w:vAlign w:val="center"/>
                </w:tcPr>
                <w:p>
                  <w:pPr>
                    <w:spacing w:before="0" w:after="0"/>
                    <w:jc w:val="right"/>
                  </w:pPr>
                  <w:r>
                    <w:rPr>
                      <w:sz w:val="17"/>
                      <w:szCs w:val="17"/>
                    </w:rPr>
                    <w:t xml:space="preserve">0/50</w:t>
                  </w:r>
                </w:p>
              </w:tc>
            </w:tr>
            <w:tr>
              <w:trPr>
                <w:cantSplit/>
              </w:trPr>
              <w:tc>
                <w:tcPr>
                  <w:tcW w:w="4284" w:type="dxa"/>
                  <w:tcMar>
                    <w:top w:w="30" w:type="dxa"/>
                    <w:bottom w:w="30" w:type="dxa"/>
                  </w:tcMar>
                  <w:vAlign w:val="center"/>
                </w:tcPr>
                <w:p>
                  <w:pPr>
                    <w:spacing w:before="0" w:after="0"/>
                    <w:jc w:val="left"/>
                  </w:pPr>
                  <w:r>
                    <w:rPr>
                      <w:sz w:val="17"/>
                      <w:szCs w:val="17"/>
                    </w:rPr>
                    <w:t xml:space="preserve">Rol sınırı ihlali</w:t>
                  </w:r>
                </w:p>
              </w:tc>
              <w:tc>
                <w:tcPr>
                  <w:tcW w:w="2601" w:type="dxa"/>
                  <w:tcMar>
                    <w:top w:w="30" w:type="dxa"/>
                    <w:bottom w:w="30" w:type="dxa"/>
                  </w:tcMar>
                  <w:vAlign w:val="center"/>
                </w:tcPr>
                <w:p>
                  <w:pPr>
                    <w:spacing w:before="0" w:after="0"/>
                    <w:jc w:val="right"/>
                  </w:pPr>
                  <w:r>
                    <w:rPr>
                      <w:sz w:val="17"/>
                      <w:szCs w:val="17"/>
                    </w:rPr>
                    <w:t xml:space="preserve">0/50</w:t>
                  </w:r>
                </w:p>
              </w:tc>
              <w:tc>
                <w:tcPr>
                  <w:tcW w:w="2295" w:type="dxa"/>
                  <w:tcMar>
                    <w:top w:w="30" w:type="dxa"/>
                    <w:bottom w:w="30" w:type="dxa"/>
                  </w:tcMar>
                  <w:vAlign w:val="center"/>
                </w:tcPr>
                <w:p>
                  <w:pPr>
                    <w:spacing w:before="0" w:after="0"/>
                    <w:jc w:val="right"/>
                  </w:pPr>
                  <w:r>
                    <w:rPr>
                      <w:sz w:val="17"/>
                      <w:szCs w:val="17"/>
                    </w:rPr>
                    <w:t xml:space="preserve">0/50</w:t>
                  </w:r>
                </w:p>
              </w:tc>
            </w:tr>
            <w:tr>
              <w:trPr>
                <w:cantSplit/>
              </w:trPr>
              <w:tc>
                <w:tcPr>
                  <w:tcW w:w="4284" w:type="dxa"/>
                  <w:tcMar>
                    <w:top w:w="30" w:type="dxa"/>
                    <w:bottom w:w="30" w:type="dxa"/>
                  </w:tcMar>
                  <w:vAlign w:val="center"/>
                </w:tcPr>
                <w:p>
                  <w:pPr>
                    <w:spacing w:before="0" w:after="0"/>
                    <w:jc w:val="left"/>
                  </w:pPr>
                  <w:r>
                    <w:rPr>
                      <w:sz w:val="17"/>
                      <w:szCs w:val="17"/>
                    </w:rPr>
                    <w:t xml:space="preserve">Tuzak ihlali</w:t>
                  </w:r>
                </w:p>
              </w:tc>
              <w:tc>
                <w:tcPr>
                  <w:tcW w:w="2601" w:type="dxa"/>
                  <w:tcMar>
                    <w:top w:w="30" w:type="dxa"/>
                    <w:bottom w:w="30" w:type="dxa"/>
                  </w:tcMar>
                  <w:vAlign w:val="center"/>
                </w:tcPr>
                <w:p>
                  <w:pPr>
                    <w:spacing w:before="0" w:after="0"/>
                    <w:jc w:val="right"/>
                  </w:pPr>
                  <w:r>
                    <w:rPr>
                      <w:sz w:val="17"/>
                      <w:szCs w:val="17"/>
                    </w:rPr>
                    <w:t xml:space="preserve">0/50</w:t>
                  </w:r>
                </w:p>
              </w:tc>
              <w:tc>
                <w:tcPr>
                  <w:tcW w:w="2295" w:type="dxa"/>
                  <w:tcMar>
                    <w:top w:w="30" w:type="dxa"/>
                    <w:bottom w:w="30" w:type="dxa"/>
                  </w:tcMar>
                  <w:vAlign w:val="center"/>
                </w:tcPr>
                <w:p>
                  <w:pPr>
                    <w:spacing w:before="0" w:after="0"/>
                    <w:jc w:val="right"/>
                  </w:pPr>
                  <w:r>
                    <w:rPr>
                      <w:sz w:val="17"/>
                      <w:szCs w:val="17"/>
                    </w:rPr>
                    <w:t xml:space="preserve">2/50</w:t>
                  </w:r>
                </w:p>
              </w:tc>
            </w:tr>
            <w:tr>
              <w:trPr>
                <w:cantSplit/>
              </w:trPr>
              <w:tc>
                <w:tcPr>
                  <w:tcW w:w="4284" w:type="dxa"/>
                  <w:tcMar>
                    <w:top w:w="30" w:type="dxa"/>
                    <w:bottom w:w="30" w:type="dxa"/>
                  </w:tcMar>
                  <w:vAlign w:val="center"/>
                </w:tcPr>
                <w:p>
                  <w:pPr>
                    <w:spacing w:before="0" w:after="0"/>
                    <w:jc w:val="left"/>
                  </w:pPr>
                  <w:r>
                    <w:rPr>
                      <w:sz w:val="17"/>
                      <w:szCs w:val="17"/>
                    </w:rPr>
                    <w:t xml:space="preserve">Duygusal tepki (0–2)</w:t>
                  </w:r>
                </w:p>
              </w:tc>
              <w:tc>
                <w:tcPr>
                  <w:tcW w:w="2601" w:type="dxa"/>
                  <w:tcMar>
                    <w:top w:w="30" w:type="dxa"/>
                    <w:bottom w:w="30" w:type="dxa"/>
                  </w:tcMar>
                  <w:vAlign w:val="center"/>
                </w:tcPr>
                <w:p>
                  <w:pPr>
                    <w:spacing w:before="0" w:after="0"/>
                    <w:jc w:val="right"/>
                  </w:pPr>
                  <w:r>
                    <w:rPr>
                      <w:sz w:val="17"/>
                      <w:szCs w:val="17"/>
                    </w:rPr>
                    <w:t xml:space="preserve">1,73</w:t>
                  </w:r>
                </w:p>
              </w:tc>
              <w:tc>
                <w:tcPr>
                  <w:tcW w:w="2295" w:type="dxa"/>
                  <w:tcMar>
                    <w:top w:w="30" w:type="dxa"/>
                    <w:bottom w:w="30" w:type="dxa"/>
                  </w:tcMar>
                  <w:vAlign w:val="center"/>
                </w:tcPr>
                <w:p>
                  <w:pPr>
                    <w:spacing w:before="0" w:after="0"/>
                    <w:jc w:val="right"/>
                  </w:pPr>
                  <w:r>
                    <w:rPr>
                      <w:sz w:val="17"/>
                      <w:szCs w:val="17"/>
                    </w:rPr>
                    <w:t xml:space="preserve">0,98</w:t>
                  </w:r>
                </w:p>
              </w:tc>
            </w:tr>
            <w:tr>
              <w:trPr>
                <w:cantSplit/>
              </w:trPr>
              <w:tc>
                <w:tcPr>
                  <w:tcW w:w="4284" w:type="dxa"/>
                  <w:tcMar>
                    <w:top w:w="30" w:type="dxa"/>
                    <w:bottom w:w="30" w:type="dxa"/>
                  </w:tcMar>
                  <w:vAlign w:val="center"/>
                </w:tcPr>
                <w:p>
                  <w:pPr>
                    <w:spacing w:before="0" w:after="0"/>
                    <w:jc w:val="left"/>
                  </w:pPr>
                  <w:r>
                    <w:rPr>
                      <w:sz w:val="17"/>
                      <w:szCs w:val="17"/>
                    </w:rPr>
                    <w:t xml:space="preserve">Keşif (0–2)</w:t>
                  </w:r>
                </w:p>
              </w:tc>
              <w:tc>
                <w:tcPr>
                  <w:tcW w:w="2601" w:type="dxa"/>
                  <w:tcMar>
                    <w:top w:w="30" w:type="dxa"/>
                    <w:bottom w:w="30" w:type="dxa"/>
                  </w:tcMar>
                  <w:vAlign w:val="center"/>
                </w:tcPr>
                <w:p>
                  <w:pPr>
                    <w:spacing w:before="0" w:after="0"/>
                    <w:jc w:val="right"/>
                  </w:pPr>
                  <w:r>
                    <w:rPr>
                      <w:sz w:val="17"/>
                      <w:szCs w:val="17"/>
                    </w:rPr>
                    <w:t xml:space="preserve">1,77</w:t>
                  </w:r>
                </w:p>
              </w:tc>
              <w:tc>
                <w:tcPr>
                  <w:tcW w:w="2295" w:type="dxa"/>
                  <w:tcMar>
                    <w:top w:w="30" w:type="dxa"/>
                    <w:bottom w:w="30" w:type="dxa"/>
                  </w:tcMar>
                  <w:vAlign w:val="center"/>
                </w:tcPr>
                <w:p>
                  <w:pPr>
                    <w:spacing w:before="0" w:after="0"/>
                    <w:jc w:val="right"/>
                  </w:pPr>
                  <w:r>
                    <w:rPr>
                      <w:sz w:val="17"/>
                      <w:szCs w:val="17"/>
                    </w:rPr>
                    <w:t xml:space="preserve">1,71</w:t>
                  </w:r>
                </w:p>
              </w:tc>
            </w:tr>
            <w:tr>
              <w:trPr>
                <w:cantSplit/>
              </w:trPr>
              <w:tc>
                <w:tcPr>
                  <w:tcW w:w="4284" w:type="dxa"/>
                  <w:tcMar>
                    <w:top w:w="30" w:type="dxa"/>
                    <w:bottom w:w="30" w:type="dxa"/>
                  </w:tcMar>
                  <w:vAlign w:val="center"/>
                </w:tcPr>
                <w:p>
                  <w:pPr>
                    <w:spacing w:before="0" w:after="0"/>
                    <w:jc w:val="left"/>
                  </w:pPr>
                  <w:r>
                    <w:rPr>
                      <w:sz w:val="17"/>
                      <w:szCs w:val="17"/>
                    </w:rPr>
                    <w:t xml:space="preserve">Context fidelity (1–5)</w:t>
                  </w:r>
                </w:p>
              </w:tc>
              <w:tc>
                <w:tcPr>
                  <w:tcW w:w="2601" w:type="dxa"/>
                  <w:tcMar>
                    <w:top w:w="30" w:type="dxa"/>
                    <w:bottom w:w="30" w:type="dxa"/>
                  </w:tcMar>
                  <w:vAlign w:val="center"/>
                </w:tcPr>
                <w:p>
                  <w:pPr>
                    <w:spacing w:before="0" w:after="0"/>
                    <w:jc w:val="right"/>
                  </w:pPr>
                  <w:r>
                    <w:rPr>
                      <w:sz w:val="17"/>
                      <w:szCs w:val="17"/>
                    </w:rPr>
                    <w:t xml:space="preserve">4,67</w:t>
                  </w:r>
                </w:p>
              </w:tc>
              <w:tc>
                <w:tcPr>
                  <w:tcW w:w="2295" w:type="dxa"/>
                  <w:tcMar>
                    <w:top w:w="30" w:type="dxa"/>
                    <w:bottom w:w="30" w:type="dxa"/>
                  </w:tcMar>
                  <w:vAlign w:val="center"/>
                </w:tcPr>
                <w:p>
                  <w:pPr>
                    <w:spacing w:before="0" w:after="0"/>
                    <w:jc w:val="right"/>
                  </w:pPr>
                  <w:r>
                    <w:rPr>
                      <w:sz w:val="17"/>
                      <w:szCs w:val="17"/>
                    </w:rPr>
                    <w:t xml:space="preserve">4,67</w:t>
                  </w:r>
                </w:p>
              </w:tc>
            </w:tr>
            <w:tr>
              <w:trPr>
                <w:cantSplit/>
              </w:trPr>
              <w:tc>
                <w:tcPr>
                  <w:tcW w:w="4284" w:type="dxa"/>
                  <w:tcMar>
                    <w:top w:w="30" w:type="dxa"/>
                    <w:bottom w:w="30" w:type="dxa"/>
                  </w:tcMar>
                  <w:vAlign w:val="center"/>
                </w:tcPr>
                <w:p>
                  <w:pPr>
                    <w:spacing w:before="0" w:after="0"/>
                    <w:jc w:val="left"/>
                  </w:pPr>
                  <w:r>
                    <w:rPr>
                      <w:sz w:val="17"/>
                      <w:szCs w:val="17"/>
                    </w:rPr>
                    <w:t xml:space="preserve">Dil bütünlüğü (1–5)</w:t>
                  </w:r>
                </w:p>
              </w:tc>
              <w:tc>
                <w:tcPr>
                  <w:tcW w:w="2601" w:type="dxa"/>
                  <w:tcMar>
                    <w:top w:w="30" w:type="dxa"/>
                    <w:bottom w:w="30" w:type="dxa"/>
                  </w:tcMar>
                  <w:vAlign w:val="center"/>
                </w:tcPr>
                <w:p>
                  <w:pPr>
                    <w:spacing w:before="0" w:after="0"/>
                    <w:jc w:val="right"/>
                  </w:pPr>
                  <w:r>
                    <w:rPr>
                      <w:sz w:val="17"/>
                      <w:szCs w:val="17"/>
                    </w:rPr>
                    <w:t xml:space="preserve">4,57</w:t>
                  </w:r>
                </w:p>
              </w:tc>
              <w:tc>
                <w:tcPr>
                  <w:tcW w:w="2295" w:type="dxa"/>
                  <w:tcMar>
                    <w:top w:w="30" w:type="dxa"/>
                    <w:bottom w:w="30" w:type="dxa"/>
                  </w:tcMar>
                  <w:vAlign w:val="center"/>
                </w:tcPr>
                <w:p>
                  <w:pPr>
                    <w:spacing w:before="0" w:after="0"/>
                    <w:jc w:val="right"/>
                  </w:pPr>
                  <w:r>
                    <w:rPr>
                      <w:sz w:val="17"/>
                      <w:szCs w:val="17"/>
                    </w:rPr>
                    <w:t xml:space="preserve">5,00</w:t>
                  </w:r>
                </w:p>
              </w:tc>
            </w:tr>
          </w:tbl>
          <w:p>
            <w:pPr>
              <w:spacing w:before="0" w:after="0"/>
              <w:jc w:val="both"/>
            </w:pPr>
          </w:p>
          <w:p>
            <w:pPr>
              <w:spacing w:before="0" w:after="100"/>
              <w:jc w:val="left"/>
            </w:pPr>
            <w:r>
              <w:rPr>
                <w:i/>
                <w:iCs/>
                <w:sz w:val="17"/>
                <w:szCs w:val="17"/>
              </w:rPr>
              <w:t xml:space="preserve">Tablo 1. Uzman ve LLM-judge değerlendirmesinin karşılaştırması (50 kayıt). Kaynak: </w:t>
            </w:r>
            <w:r>
              <w:rPr>
                <w:rFonts w:ascii="Consolas" w:hAnsi="Consolas" w:cs="Consolas"/>
                <w:i/>
                <w:iCs/>
                <w:sz w:val="15"/>
                <w:szCs w:val="15"/>
              </w:rPr>
              <w:t xml:space="preserve">reports/analiz/2026-09-14-uzman-puanlama-analizi.md</w:t>
            </w:r>
            <w:r>
              <w:rPr>
                <w:i/>
                <w:iCs/>
                <w:sz w:val="17"/>
                <w:szCs w:val="17"/>
              </w:rPr>
              <w:t xml:space="preserve">.</w:t>
            </w:r>
          </w:p>
          <w:p>
            <w:pPr>
              <w:spacing w:before="60" w:after="60"/>
              <w:jc w:val="both"/>
            </w:pPr>
            <w:r>
              <w:rPr>
                <w:sz w:val="20"/>
                <w:szCs w:val="20"/>
              </w:rPr>
              <w:t xml:space="preserve">Judge puanları ortalamada uzmana yakın, ama kayıt düzeyinde uzmanla neredeyse hiç ilişkili değil. Boyutlar arası korelasyon −0,13 ile 0,26 arasında kaldı; uzmanın reddettiği beş kaydın beşine judge dil ve kısalıkta tam puan verdi. Bu yüzden judge'ı kalite puanı için değil, güvenlik ihlali ve hallucination gibi ağır hataları elemek için kullandık. Rubriği uzman yorumlarına bakarak dokuz kez yeniden yazdık; yorumlama boyutunda uzmanla birebir uyum %30'dan %62'ye çıktı. Yine de hiçbir boyut uzmanın genel kabul/ret kararını ayırt edemedi (AUC 0,45–0,57). Uzman yorumları veri tasarımına da yansıdı. Uzman, kayıtların %97'sinin soruyla bitmesini ve MG süreçlerinin çoğunun "ilişki kurma" aşamasında kalmasını (70 kayıttan 57'si) eleştirmişti; sonraki sürümlerde bu iki oran ayrıca izlendi.</w:t>
            </w:r>
          </w:p>
          <w:p>
            <w:pPr>
              <w:keepNext/>
              <w:spacing w:before="200" w:after="60"/>
              <w:jc w:val="left"/>
            </w:pPr>
            <w:r>
              <w:rPr>
                <w:b/>
                <w:bCs/>
                <w:sz w:val="20"/>
                <w:szCs w:val="20"/>
              </w:rPr>
              <w:t xml:space="preserve">İP1.8 Değerlendirme setleri</w:t>
            </w:r>
          </w:p>
          <w:p>
            <w:pPr>
              <w:spacing w:before="60" w:after="60"/>
              <w:jc w:val="both"/>
            </w:pPr>
            <w:r>
              <w:rPr>
                <w:sz w:val="20"/>
                <w:szCs w:val="20"/>
              </w:rPr>
              <w:t xml:space="preserve">İP2'de modelleri sınamak için veri kümesinden ayrı, elle yazılmış değerlendirme setleri hazırlandı (Tablo 2). Setler eğitimde kullanılan seed'lerle çakışmayacak şekilde ayrıldı. Terapötik kalite setleri dev / test / locked olarak üçe bölündü. Locked set yalnızca iki kez, başlangıçta ve final ölçümünde açılıyor; model seçerken test setine fazla uyum sağlamanın önüne böyle geçiliyor.</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4160"/>
              <w:gridCol w:w="3299"/>
              <w:gridCol w:w="1721"/>
            </w:tblGrid>
            <w:tr>
              <w:trPr>
                <w:cantSplit/>
                <w:tblHeader/>
              </w:trPr>
              <w:tc>
                <w:tcPr>
                  <w:tcW w:w="4160" w:type="dxa"/>
                  <w:shd w:val="clear" w:color="auto" w:fill="E7E6E6"/>
                  <w:tcMar>
                    <w:top w:w="30" w:type="dxa"/>
                    <w:bottom w:w="30" w:type="dxa"/>
                  </w:tcMar>
                  <w:vAlign w:val="center"/>
                </w:tcPr>
                <w:p>
                  <w:pPr>
                    <w:spacing w:before="0" w:after="0"/>
                    <w:jc w:val="left"/>
                  </w:pPr>
                  <w:r>
                    <w:rPr>
                      <w:b/>
                      <w:bCs/>
                      <w:sz w:val="17"/>
                      <w:szCs w:val="17"/>
                    </w:rPr>
                    <w:t xml:space="preserve">Set</w:t>
                  </w:r>
                </w:p>
              </w:tc>
              <w:tc>
                <w:tcPr>
                  <w:tcW w:w="3299" w:type="dxa"/>
                  <w:shd w:val="clear" w:color="auto" w:fill="E7E6E6"/>
                  <w:tcMar>
                    <w:top w:w="30" w:type="dxa"/>
                    <w:bottom w:w="30" w:type="dxa"/>
                  </w:tcMar>
                  <w:vAlign w:val="center"/>
                </w:tcPr>
                <w:p>
                  <w:pPr>
                    <w:spacing w:before="0" w:after="0"/>
                    <w:jc w:val="left"/>
                  </w:pPr>
                  <w:r>
                    <w:rPr>
                      <w:b/>
                      <w:bCs/>
                      <w:sz w:val="17"/>
                      <w:szCs w:val="17"/>
                    </w:rPr>
                    <w:t xml:space="preserve">Eksen</w:t>
                  </w:r>
                </w:p>
              </w:tc>
              <w:tc>
                <w:tcPr>
                  <w:tcW w:w="1721" w:type="dxa"/>
                  <w:shd w:val="clear" w:color="auto" w:fill="E7E6E6"/>
                  <w:tcMar>
                    <w:top w:w="30" w:type="dxa"/>
                    <w:bottom w:w="30" w:type="dxa"/>
                  </w:tcMar>
                  <w:vAlign w:val="center"/>
                </w:tcPr>
                <w:p>
                  <w:pPr>
                    <w:spacing w:before="0" w:after="0"/>
                    <w:jc w:val="left"/>
                  </w:pPr>
                  <w:r>
                    <w:rPr>
                      <w:b/>
                      <w:bCs/>
                      <w:sz w:val="17"/>
                      <w:szCs w:val="17"/>
                    </w:rPr>
                    <w:t xml:space="preserve">Öğe</w:t>
                  </w:r>
                </w:p>
              </w:tc>
            </w:tr>
            <w:tr>
              <w:trPr>
                <w:cantSplit/>
              </w:trPr>
              <w:tc>
                <w:tcPr>
                  <w:tcW w:w="4160" w:type="dxa"/>
                  <w:tcMar>
                    <w:top w:w="30" w:type="dxa"/>
                    <w:bottom w:w="30" w:type="dxa"/>
                  </w:tcMar>
                  <w:vAlign w:val="center"/>
                </w:tcPr>
                <w:p>
                  <w:pPr>
                    <w:spacing w:before="0" w:after="0"/>
                    <w:jc w:val="left"/>
                  </w:pPr>
                  <w:r>
                    <w:rPr>
                      <w:sz w:val="17"/>
                      <w:szCs w:val="17"/>
                    </w:rPr>
                    <w:t xml:space="preserve">golden.dev / golden.test / golden.locked</w:t>
                  </w:r>
                </w:p>
              </w:tc>
              <w:tc>
                <w:tcPr>
                  <w:tcW w:w="3299" w:type="dxa"/>
                  <w:tcMar>
                    <w:top w:w="30" w:type="dxa"/>
                    <w:bottom w:w="30" w:type="dxa"/>
                  </w:tcMar>
                  <w:vAlign w:val="center"/>
                </w:tcPr>
                <w:p>
                  <w:pPr>
                    <w:spacing w:before="0" w:after="0"/>
                    <w:jc w:val="left"/>
                  </w:pPr>
                  <w:r>
                    <w:rPr>
                      <w:sz w:val="17"/>
                      <w:szCs w:val="17"/>
                    </w:rPr>
                    <w:t xml:space="preserve">Terapötik kalite</w:t>
                  </w:r>
                </w:p>
              </w:tc>
              <w:tc>
                <w:tcPr>
                  <w:tcW w:w="1721" w:type="dxa"/>
                  <w:tcMar>
                    <w:top w:w="30" w:type="dxa"/>
                    <w:bottom w:w="30" w:type="dxa"/>
                  </w:tcMar>
                  <w:vAlign w:val="center"/>
                </w:tcPr>
                <w:p>
                  <w:pPr>
                    <w:spacing w:before="0" w:after="0"/>
                    <w:jc w:val="left"/>
                  </w:pPr>
                  <w:r>
                    <w:rPr>
                      <w:sz w:val="17"/>
                      <w:szCs w:val="17"/>
                    </w:rPr>
                    <w:t xml:space="preserve">48 / 48 / 48</w:t>
                  </w:r>
                </w:p>
              </w:tc>
            </w:tr>
            <w:tr>
              <w:trPr>
                <w:cantSplit/>
              </w:trPr>
              <w:tc>
                <w:tcPr>
                  <w:tcW w:w="4160" w:type="dxa"/>
                  <w:tcMar>
                    <w:top w:w="30" w:type="dxa"/>
                    <w:bottom w:w="30" w:type="dxa"/>
                  </w:tcMar>
                  <w:vAlign w:val="center"/>
                </w:tcPr>
                <w:p>
                  <w:pPr>
                    <w:spacing w:before="0" w:after="0"/>
                    <w:jc w:val="left"/>
                  </w:pPr>
                  <w:r>
                    <w:rPr>
                      <w:sz w:val="17"/>
                      <w:szCs w:val="17"/>
                    </w:rPr>
                    <w:t xml:space="preserve">safety_crisis</w:t>
                  </w:r>
                </w:p>
              </w:tc>
              <w:tc>
                <w:tcPr>
                  <w:tcW w:w="3299" w:type="dxa"/>
                  <w:tcMar>
                    <w:top w:w="30" w:type="dxa"/>
                    <w:bottom w:w="30" w:type="dxa"/>
                  </w:tcMar>
                  <w:vAlign w:val="center"/>
                </w:tcPr>
                <w:p>
                  <w:pPr>
                    <w:spacing w:before="0" w:after="0"/>
                    <w:jc w:val="left"/>
                  </w:pPr>
                  <w:r>
                    <w:rPr>
                      <w:sz w:val="17"/>
                      <w:szCs w:val="17"/>
                    </w:rPr>
                    <w:t xml:space="preserve">Güvenlik ve kriz (15 risk + 5 kontrol)</w:t>
                  </w:r>
                </w:p>
              </w:tc>
              <w:tc>
                <w:tcPr>
                  <w:tcW w:w="1721" w:type="dxa"/>
                  <w:tcMar>
                    <w:top w:w="30" w:type="dxa"/>
                    <w:bottom w:w="30" w:type="dxa"/>
                  </w:tcMar>
                  <w:vAlign w:val="center"/>
                </w:tcPr>
                <w:p>
                  <w:pPr>
                    <w:spacing w:before="0" w:after="0"/>
                    <w:jc w:val="left"/>
                  </w:pPr>
                  <w:r>
                    <w:rPr>
                      <w:sz w:val="17"/>
                      <w:szCs w:val="17"/>
                    </w:rPr>
                    <w:t xml:space="preserve">20</w:t>
                  </w:r>
                </w:p>
              </w:tc>
            </w:tr>
            <w:tr>
              <w:trPr>
                <w:cantSplit/>
              </w:trPr>
              <w:tc>
                <w:tcPr>
                  <w:tcW w:w="4160" w:type="dxa"/>
                  <w:tcMar>
                    <w:top w:w="30" w:type="dxa"/>
                    <w:bottom w:w="30" w:type="dxa"/>
                  </w:tcMar>
                  <w:vAlign w:val="center"/>
                </w:tcPr>
                <w:p>
                  <w:pPr>
                    <w:spacing w:before="0" w:after="0"/>
                    <w:jc w:val="left"/>
                  </w:pPr>
                  <w:r>
                    <w:rPr>
                      <w:sz w:val="17"/>
                      <w:szCs w:val="17"/>
                    </w:rPr>
                    <w:t xml:space="preserve">forgetting_smoke</w:t>
                  </w:r>
                </w:p>
              </w:tc>
              <w:tc>
                <w:tcPr>
                  <w:tcW w:w="3299" w:type="dxa"/>
                  <w:tcMar>
                    <w:top w:w="30" w:type="dxa"/>
                    <w:bottom w:w="30" w:type="dxa"/>
                  </w:tcMar>
                  <w:vAlign w:val="center"/>
                </w:tcPr>
                <w:p>
                  <w:pPr>
                    <w:spacing w:before="0" w:after="0"/>
                    <w:jc w:val="left"/>
                  </w:pPr>
                  <w:r>
                    <w:rPr>
                      <w:sz w:val="17"/>
                      <w:szCs w:val="17"/>
                    </w:rPr>
                    <w:t xml:space="preserve">Genel yeteneğin korunması</w:t>
                  </w:r>
                </w:p>
              </w:tc>
              <w:tc>
                <w:tcPr>
                  <w:tcW w:w="1721" w:type="dxa"/>
                  <w:tcMar>
                    <w:top w:w="30" w:type="dxa"/>
                    <w:bottom w:w="30" w:type="dxa"/>
                  </w:tcMar>
                  <w:vAlign w:val="center"/>
                </w:tcPr>
                <w:p>
                  <w:pPr>
                    <w:spacing w:before="0" w:after="0"/>
                    <w:jc w:val="left"/>
                  </w:pPr>
                  <w:r>
                    <w:rPr>
                      <w:sz w:val="17"/>
                      <w:szCs w:val="17"/>
                    </w:rPr>
                    <w:t xml:space="preserve">30</w:t>
                  </w:r>
                </w:p>
              </w:tc>
            </w:tr>
            <w:tr>
              <w:trPr>
                <w:cantSplit/>
              </w:trPr>
              <w:tc>
                <w:tcPr>
                  <w:tcW w:w="4160" w:type="dxa"/>
                  <w:tcMar>
                    <w:top w:w="30" w:type="dxa"/>
                    <w:bottom w:w="30" w:type="dxa"/>
                  </w:tcMar>
                  <w:vAlign w:val="center"/>
                </w:tcPr>
                <w:p>
                  <w:pPr>
                    <w:spacing w:before="0" w:after="0"/>
                    <w:jc w:val="left"/>
                  </w:pPr>
                  <w:r>
                    <w:rPr>
                      <w:sz w:val="17"/>
                      <w:szCs w:val="17"/>
                    </w:rPr>
                    <w:t xml:space="preserve">context_fidelity (+ gerçek bağlam, çelişkili bağlam)</w:t>
                  </w:r>
                </w:p>
              </w:tc>
              <w:tc>
                <w:tcPr>
                  <w:tcW w:w="3299" w:type="dxa"/>
                  <w:tcMar>
                    <w:top w:w="30" w:type="dxa"/>
                    <w:bottom w:w="30" w:type="dxa"/>
                  </w:tcMar>
                  <w:vAlign w:val="center"/>
                </w:tcPr>
                <w:p>
                  <w:pPr>
                    <w:spacing w:before="0" w:after="0"/>
                    <w:jc w:val="left"/>
                  </w:pPr>
                  <w:r>
                    <w:rPr>
                      <w:sz w:val="17"/>
                      <w:szCs w:val="17"/>
                    </w:rPr>
                    <w:t xml:space="preserve">Context fidelity</w:t>
                  </w:r>
                </w:p>
              </w:tc>
              <w:tc>
                <w:tcPr>
                  <w:tcW w:w="1721" w:type="dxa"/>
                  <w:tcMar>
                    <w:top w:w="30" w:type="dxa"/>
                    <w:bottom w:w="30" w:type="dxa"/>
                  </w:tcMar>
                  <w:vAlign w:val="center"/>
                </w:tcPr>
                <w:p>
                  <w:pPr>
                    <w:spacing w:before="0" w:after="0"/>
                    <w:jc w:val="left"/>
                  </w:pPr>
                  <w:r>
                    <w:rPr>
                      <w:sz w:val="17"/>
                      <w:szCs w:val="17"/>
                    </w:rPr>
                    <w:t xml:space="preserve">20 + 15 + 15</w:t>
                  </w:r>
                </w:p>
              </w:tc>
            </w:tr>
            <w:tr>
              <w:trPr>
                <w:cantSplit/>
              </w:trPr>
              <w:tc>
                <w:tcPr>
                  <w:tcW w:w="4160" w:type="dxa"/>
                  <w:tcMar>
                    <w:top w:w="30" w:type="dxa"/>
                    <w:bottom w:w="30" w:type="dxa"/>
                  </w:tcMar>
                  <w:vAlign w:val="center"/>
                </w:tcPr>
                <w:p>
                  <w:pPr>
                    <w:spacing w:before="0" w:after="0"/>
                    <w:jc w:val="left"/>
                  </w:pPr>
                  <w:r>
                    <w:rPr>
                      <w:sz w:val="17"/>
                      <w:szCs w:val="17"/>
                    </w:rPr>
                    <w:t xml:space="preserve">sycophancy</w:t>
                  </w:r>
                </w:p>
              </w:tc>
              <w:tc>
                <w:tcPr>
                  <w:tcW w:w="3299" w:type="dxa"/>
                  <w:tcMar>
                    <w:top w:w="30" w:type="dxa"/>
                    <w:bottom w:w="30" w:type="dxa"/>
                  </w:tcMar>
                  <w:vAlign w:val="center"/>
                </w:tcPr>
                <w:p>
                  <w:pPr>
                    <w:spacing w:before="0" w:after="0"/>
                    <w:jc w:val="left"/>
                  </w:pPr>
                  <w:r>
                    <w:rPr>
                      <w:sz w:val="17"/>
                      <w:szCs w:val="17"/>
                    </w:rPr>
                    <w:t xml:space="preserve">Sycophancy / özerklik</w:t>
                  </w:r>
                </w:p>
              </w:tc>
              <w:tc>
                <w:tcPr>
                  <w:tcW w:w="1721" w:type="dxa"/>
                  <w:tcMar>
                    <w:top w:w="30" w:type="dxa"/>
                    <w:bottom w:w="30" w:type="dxa"/>
                  </w:tcMar>
                  <w:vAlign w:val="center"/>
                </w:tcPr>
                <w:p>
                  <w:pPr>
                    <w:spacing w:before="0" w:after="0"/>
                    <w:jc w:val="left"/>
                  </w:pPr>
                  <w:r>
                    <w:rPr>
                      <w:sz w:val="17"/>
                      <w:szCs w:val="17"/>
                    </w:rPr>
                    <w:t xml:space="preserve">24</w:t>
                  </w:r>
                </w:p>
              </w:tc>
            </w:tr>
            <w:tr>
              <w:trPr>
                <w:cantSplit/>
              </w:trPr>
              <w:tc>
                <w:tcPr>
                  <w:tcW w:w="4160" w:type="dxa"/>
                  <w:tcMar>
                    <w:top w:w="30" w:type="dxa"/>
                    <w:bottom w:w="30" w:type="dxa"/>
                  </w:tcMar>
                  <w:vAlign w:val="center"/>
                </w:tcPr>
                <w:p>
                  <w:pPr>
                    <w:spacing w:before="0" w:after="0"/>
                    <w:jc w:val="left"/>
                  </w:pPr>
                  <w:r>
                    <w:rPr>
                      <w:sz w:val="17"/>
                      <w:szCs w:val="17"/>
                    </w:rPr>
                    <w:t xml:space="preserve">cok_turlu</w:t>
                  </w:r>
                </w:p>
              </w:tc>
              <w:tc>
                <w:tcPr>
                  <w:tcW w:w="3299" w:type="dxa"/>
                  <w:tcMar>
                    <w:top w:w="30" w:type="dxa"/>
                    <w:bottom w:w="30" w:type="dxa"/>
                  </w:tcMar>
                  <w:vAlign w:val="center"/>
                </w:tcPr>
                <w:p>
                  <w:pPr>
                    <w:spacing w:before="0" w:after="0"/>
                    <w:jc w:val="left"/>
                  </w:pPr>
                  <w:r>
                    <w:rPr>
                      <w:sz w:val="17"/>
                      <w:szCs w:val="17"/>
                    </w:rPr>
                    <w:t xml:space="preserve">Çok turlu tutarlılık</w:t>
                  </w:r>
                </w:p>
              </w:tc>
              <w:tc>
                <w:tcPr>
                  <w:tcW w:w="1721" w:type="dxa"/>
                  <w:tcMar>
                    <w:top w:w="30" w:type="dxa"/>
                    <w:bottom w:w="30" w:type="dxa"/>
                  </w:tcMar>
                  <w:vAlign w:val="center"/>
                </w:tcPr>
                <w:p>
                  <w:pPr>
                    <w:spacing w:before="0" w:after="0"/>
                    <w:jc w:val="left"/>
                  </w:pPr>
                  <w:r>
                    <w:rPr>
                      <w:sz w:val="17"/>
                      <w:szCs w:val="17"/>
                    </w:rPr>
                    <w:t xml:space="preserve">10 konuşma × 4 tur</w:t>
                  </w:r>
                </w:p>
              </w:tc>
            </w:tr>
            <w:tr>
              <w:trPr>
                <w:cantSplit/>
              </w:trPr>
              <w:tc>
                <w:tcPr>
                  <w:tcW w:w="4160" w:type="dxa"/>
                  <w:tcMar>
                    <w:top w:w="30" w:type="dxa"/>
                    <w:bottom w:w="30" w:type="dxa"/>
                  </w:tcMar>
                  <w:vAlign w:val="center"/>
                </w:tcPr>
                <w:p>
                  <w:pPr>
                    <w:spacing w:before="0" w:after="0"/>
                    <w:jc w:val="left"/>
                  </w:pPr>
                  <w:r>
                    <w:rPr>
                      <w:sz w:val="17"/>
                      <w:szCs w:val="17"/>
                    </w:rPr>
                    <w:t xml:space="preserve">olcek5k-ref.v1</w:t>
                  </w:r>
                </w:p>
              </w:tc>
              <w:tc>
                <w:tcPr>
                  <w:tcW w:w="3299" w:type="dxa"/>
                  <w:tcMar>
                    <w:top w:w="30" w:type="dxa"/>
                    <w:bottom w:w="30" w:type="dxa"/>
                  </w:tcMar>
                  <w:vAlign w:val="center"/>
                </w:tcPr>
                <w:p>
                  <w:pPr>
                    <w:spacing w:before="0" w:after="0"/>
                    <w:jc w:val="left"/>
                  </w:pPr>
                  <w:r>
                    <w:rPr>
                      <w:sz w:val="17"/>
                      <w:szCs w:val="17"/>
                    </w:rPr>
                    <w:t xml:space="preserve">Referanslı metin benzerliği (BLEU/ROUGE)</w:t>
                  </w:r>
                </w:p>
              </w:tc>
              <w:tc>
                <w:tcPr>
                  <w:tcW w:w="1721" w:type="dxa"/>
                  <w:tcMar>
                    <w:top w:w="30" w:type="dxa"/>
                    <w:bottom w:w="30" w:type="dxa"/>
                  </w:tcMar>
                  <w:vAlign w:val="center"/>
                </w:tcPr>
                <w:p>
                  <w:pPr>
                    <w:spacing w:before="0" w:after="0"/>
                    <w:jc w:val="left"/>
                  </w:pPr>
                  <w:r>
                    <w:rPr>
                      <w:sz w:val="17"/>
                      <w:szCs w:val="17"/>
                    </w:rPr>
                    <w:t xml:space="preserve">200</w:t>
                  </w:r>
                </w:p>
              </w:tc>
            </w:tr>
          </w:tbl>
          <w:p>
            <w:pPr>
              <w:spacing w:before="0" w:after="0"/>
              <w:jc w:val="both"/>
            </w:pPr>
          </w:p>
          <w:p>
            <w:pPr>
              <w:spacing w:before="0" w:after="100"/>
              <w:jc w:val="left"/>
            </w:pPr>
            <w:r>
              <w:rPr>
                <w:i/>
                <w:iCs/>
                <w:sz w:val="17"/>
                <w:szCs w:val="17"/>
              </w:rPr>
              <w:t xml:space="preserve">Tablo 2. Değerlendirme setleri. Kaynak: </w:t>
            </w:r>
            <w:r>
              <w:rPr>
                <w:rFonts w:ascii="Consolas" w:hAnsi="Consolas" w:cs="Consolas"/>
                <w:i/>
                <w:iCs/>
                <w:sz w:val="15"/>
                <w:szCs w:val="15"/>
              </w:rPr>
              <w:t xml:space="preserve">evals/</w:t>
            </w:r>
            <w:r>
              <w:rPr>
                <w:i/>
                <w:iCs/>
                <w:sz w:val="17"/>
                <w:szCs w:val="17"/>
              </w:rPr>
              <w:t xml:space="preserve"> · </w:t>
            </w:r>
            <w:r>
              <w:rPr>
                <w:rFonts w:ascii="Consolas" w:hAnsi="Consolas" w:cs="Consolas"/>
                <w:i/>
                <w:iCs/>
                <w:sz w:val="15"/>
                <w:szCs w:val="15"/>
              </w:rPr>
              <w:t xml:space="preserve">reports/analiz/2026-10-20-rapor-referans-seti.md</w:t>
            </w:r>
            <w:r>
              <w:rPr>
                <w:i/>
                <w:iCs/>
                <w:sz w:val="17"/>
                <w:szCs w:val="17"/>
              </w:rPr>
              <w:t xml:space="preserve">.</w:t>
            </w:r>
          </w:p>
          <w:p>
            <w:pPr>
              <w:keepNext/>
              <w:spacing w:before="200" w:after="60"/>
              <w:jc w:val="left"/>
            </w:pPr>
            <w:r>
              <w:rPr>
                <w:b/>
                <w:bCs/>
                <w:sz w:val="20"/>
                <w:szCs w:val="20"/>
              </w:rPr>
              <w:t xml:space="preserve">İP1.9 Elde edilen sürümler ve ölçeklendirme</w:t>
            </w:r>
          </w:p>
          <w:p>
            <w:pPr>
              <w:spacing w:before="60" w:after="60"/>
              <w:jc w:val="both"/>
            </w:pPr>
            <w:r>
              <w:rPr>
                <w:sz w:val="20"/>
                <w:szCs w:val="20"/>
              </w:rPr>
              <w:t xml:space="preserve">Veri kümesi 12 Eylül'de 20 kayıtlık bir vertical slice ile başladı ve 22 ara sürümde büyüdü (Şekil 3). Ara sürümlerin bir kısmı tek bir hipotezi sınamak için kurulan, ana hatta alınmayan deney kollarıdır; İP2'deki doz-yanıt kolları da bunlardandır.</w:t>
            </w:r>
          </w:p>
          <w:p>
            <w:pPr>
              <w:keepNext/>
              <w:spacing w:before="120" w:after="0"/>
              <w:jc w:val="center"/>
            </w:pPr>
            <w:r>
              <w:drawing>
                <wp:inline distT="0" distB="0" distL="0" distR="0">
                  <wp:extent cx="5760000" cy="2047613"/>
                  <wp:docPr id="3" name="Şekil 3"/>
                  <a:graphic xmlns:a="http://schemas.openxmlformats.org/drawingml/2006/main">
                    <a:graphicData uri="http://schemas.openxmlformats.org/drawingml/2006/picture">
                      <pic:pic xmlns:pic="http://schemas.openxmlformats.org/drawingml/2006/picture">
                        <pic:nvPicPr>
                          <pic:cNvPr id="3" name="sekil3.png"/>
                          <pic:cNvPicPr/>
                        </pic:nvPicPr>
                        <pic:blipFill>
                          <a:blip r:embed="rIdSekil3"/>
                          <a:stretch>
                            <a:fillRect/>
                          </a:stretch>
                        </pic:blipFill>
                        <pic:spPr>
                          <a:xfrm>
                            <a:off x="0" y="0"/>
                            <a:ext cx="5760000" cy="2047613"/>
                          </a:xfrm>
                          <a:prstGeom prst="rect">
                            <a:avLst/>
                          </a:prstGeom>
                        </pic:spPr>
                      </pic:pic>
                    </a:graphicData>
                  </a:graphic>
                </wp:inline>
              </w:drawing>
            </w:r>
          </w:p>
          <w:p>
            <w:pPr>
              <w:spacing w:before="40" w:after="160"/>
              <w:jc w:val="center"/>
            </w:pPr>
            <w:r>
              <w:rPr>
                <w:sz w:val="17"/>
                <w:szCs w:val="17"/>
              </w:rPr>
              <w:t xml:space="preserve">Şekil 3. Veri kümesi sürümlerinin gelişimi. Her sürüm immutable'dır ve manifestinde girdi özetini taşır; gri sütunlar ana hatta alınmayan deney kollarıdır.</w:t>
            </w:r>
          </w:p>
          <w:p>
            <w:pPr>
              <w:spacing w:before="60" w:after="60"/>
              <w:jc w:val="left"/>
            </w:pPr>
            <w:r>
              <w:rPr>
                <w:sz w:val="20"/>
                <w:szCs w:val="20"/>
              </w:rPr>
              <w:t xml:space="preserve">Dönemde iki araştırma sürümü kesinleşti; bu sürümler artık değiştirilmiyor. 24 Eylül 2026 tarihli </w:t>
            </w:r>
            <w:r>
              <w:rPr>
                <w:rFonts w:ascii="Consolas" w:hAnsi="Consolas" w:cs="Consolas"/>
                <w:sz w:val="18"/>
                <w:szCs w:val="18"/>
              </w:rPr>
              <w:t xml:space="preserve">v0.1.0</w:t>
            </w:r>
            <w:r>
              <w:rPr>
                <w:sz w:val="20"/>
                <w:szCs w:val="20"/>
              </w:rPr>
              <w:t xml:space="preserve">'da 1.132 aday kayıttan 1.058'i kabul edildi; elenen 74 kaydın 56'sı hallucination, 14'ü klinik güvenlik ihlali, 4'ü güvenlik karantinası nedeniyle elendi. 29 Eylül 2026 tarihli </w:t>
            </w:r>
            <w:r>
              <w:rPr>
                <w:rFonts w:ascii="Consolas" w:hAnsi="Consolas" w:cs="Consolas"/>
                <w:sz w:val="18"/>
                <w:szCs w:val="18"/>
              </w:rPr>
              <w:t xml:space="preserve">v0.1.1</w:t>
            </w:r>
            <w:r>
              <w:rPr>
                <w:sz w:val="20"/>
                <w:szCs w:val="20"/>
              </w:rPr>
              <w:t xml:space="preserve">'de aynı 1.058 kaydın 1.036'sında thinking yeniden yazıldı. İlk sürümün thinking'lerinde biçimsel kalıplar ağır basıyordu: %30,6'sında "sormuyorum" gibi meta-yorumlar, %22,8'inde işaret simgeleri vardı. Yeni sürümde bu oranlar %3,1 ve %0,2'ye indi. İP2'deki 26B ince ayarı bu sürümle yapıldı. Veri kümesi Hugging Face'te paylaşıldı (https://huggingface.co/datasets/yildirim34/birag-dataset).</w:t>
            </w:r>
          </w:p>
          <w:p>
            <w:pPr>
              <w:spacing w:before="60" w:after="60"/>
              <w:jc w:val="both"/>
            </w:pPr>
            <w:r>
              <w:rPr>
                <w:sz w:val="20"/>
                <w:szCs w:val="20"/>
              </w:rPr>
              <w:t xml:space="preserve">Hacmi büyütmek için dönem sonunda üç aşamalı bir üretim hattı (ölçek-5k) kurduk. A aşamasında seed'den danışan tarafı yazılıyor. B aşamasında danışman cevabı ve thinking, seed görülmeden yazılıyor. C aşamasında daha güçlü bir model kayıtlarda hata arıyor, kaydı düzeltiyor ya da düşürüyor. Otomatik kontroller her aşamada çalışıyor. Hattı kurmadan önce 60 kayıtlık bir pilot yaptık ve elle okumada 17 ciddi kusur bulduk. Bunların 11'i, tek modelin seed metnini cevaba sızdırmasından kaynaklanıyordu; seed'i cevap yazarından gizleme kararı buradan çıktı. Kalibrasyon turunda C aşaması 50 kaydın 27'sini düzeltti, 1'ini düşürdü. Hat 5.000 kayıt (200 parça × 25) için tasarlandı; 20 Ekim 2026 itibarıyla 200 parçanın 144'ü B aşamasını bitirmiş ve 3.598 ara kayıt üretilmişti. Ancak İP2'deki bulgular (Bölüm İP2.8) veri kalitesinde, özellikle kriz örneklerinin eksikliğinde ve bazı abartılı kalıplarda düzeltilmesi gereken noktalar olduğunu gösterdi. Bu yüzden önce kaliteyi artırmaya, 10.000 örneği ondan sonra aynı hatla üretmeye karar verdik.</w:t>
            </w:r>
          </w:p>
          <w:p>
            <w:pPr>
              <w:keepNext/>
              <w:spacing w:before="200" w:after="60"/>
              <w:jc w:val="left"/>
            </w:pPr>
            <w:r>
              <w:rPr>
                <w:b/>
                <w:bCs/>
                <w:sz w:val="20"/>
                <w:szCs w:val="20"/>
              </w:rPr>
              <w:t xml:space="preserve">İP1.10 Karşılaşılan sorunlar, öneriden sapmalar ve B planları</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426"/>
              <w:gridCol w:w="2540"/>
              <w:gridCol w:w="4214"/>
            </w:tblGrid>
            <w:tr>
              <w:trPr>
                <w:cantSplit/>
                <w:tblHeader/>
              </w:trPr>
              <w:tc>
                <w:tcPr>
                  <w:tcW w:w="2426" w:type="dxa"/>
                  <w:shd w:val="clear" w:color="auto" w:fill="E7E6E6"/>
                  <w:tcMar>
                    <w:top w:w="30" w:type="dxa"/>
                    <w:bottom w:w="30" w:type="dxa"/>
                  </w:tcMar>
                  <w:vAlign w:val="center"/>
                </w:tcPr>
                <w:p>
                  <w:pPr>
                    <w:spacing w:before="0" w:after="0"/>
                    <w:jc w:val="left"/>
                  </w:pPr>
                  <w:r>
                    <w:rPr>
                      <w:b/>
                      <w:bCs/>
                      <w:sz w:val="17"/>
                      <w:szCs w:val="17"/>
                    </w:rPr>
                    <w:t xml:space="preserve">Konu</w:t>
                  </w:r>
                </w:p>
              </w:tc>
              <w:tc>
                <w:tcPr>
                  <w:tcW w:w="2540" w:type="dxa"/>
                  <w:shd w:val="clear" w:color="auto" w:fill="E7E6E6"/>
                  <w:tcMar>
                    <w:top w:w="30" w:type="dxa"/>
                    <w:bottom w:w="30" w:type="dxa"/>
                  </w:tcMar>
                  <w:vAlign w:val="center"/>
                </w:tcPr>
                <w:p>
                  <w:pPr>
                    <w:spacing w:before="0" w:after="0"/>
                    <w:jc w:val="left"/>
                  </w:pPr>
                  <w:r>
                    <w:rPr>
                      <w:b/>
                      <w:bCs/>
                      <w:sz w:val="17"/>
                      <w:szCs w:val="17"/>
                    </w:rPr>
                    <w:t xml:space="preserve">Öneride</w:t>
                  </w:r>
                </w:p>
              </w:tc>
              <w:tc>
                <w:tcPr>
                  <w:tcW w:w="4214" w:type="dxa"/>
                  <w:shd w:val="clear" w:color="auto" w:fill="E7E6E6"/>
                  <w:tcMar>
                    <w:top w:w="30" w:type="dxa"/>
                    <w:bottom w:w="30" w:type="dxa"/>
                  </w:tcMar>
                  <w:vAlign w:val="center"/>
                </w:tcPr>
                <w:p>
                  <w:pPr>
                    <w:spacing w:before="0" w:after="0"/>
                    <w:jc w:val="left"/>
                  </w:pPr>
                  <w:r>
                    <w:rPr>
                      <w:b/>
                      <w:bCs/>
                      <w:sz w:val="17"/>
                      <w:szCs w:val="17"/>
                    </w:rPr>
                    <w:t xml:space="preserve">Gerçekleşen ve gerekçe</w:t>
                  </w:r>
                </w:p>
              </w:tc>
            </w:tr>
            <w:tr>
              <w:trPr>
                <w:cantSplit/>
              </w:trPr>
              <w:tc>
                <w:tcPr>
                  <w:tcW w:w="2426" w:type="dxa"/>
                  <w:tcMar>
                    <w:top w:w="30" w:type="dxa"/>
                    <w:bottom w:w="30" w:type="dxa"/>
                  </w:tcMar>
                  <w:vAlign w:val="center"/>
                </w:tcPr>
                <w:p>
                  <w:pPr>
                    <w:spacing w:before="0" w:after="0"/>
                    <w:jc w:val="left"/>
                  </w:pPr>
                  <w:r>
                    <w:rPr>
                      <w:sz w:val="17"/>
                      <w:szCs w:val="17"/>
                    </w:rPr>
                    <w:t xml:space="preserve">Forum verisi (Reddit, Quora vb.)</w:t>
                  </w:r>
                </w:p>
              </w:tc>
              <w:tc>
                <w:tcPr>
                  <w:tcW w:w="2540" w:type="dxa"/>
                  <w:tcMar>
                    <w:top w:w="30" w:type="dxa"/>
                    <w:bottom w:w="30" w:type="dxa"/>
                  </w:tcMar>
                  <w:vAlign w:val="center"/>
                </w:tcPr>
                <w:p>
                  <w:pPr>
                    <w:spacing w:before="0" w:after="0"/>
                    <w:jc w:val="left"/>
                  </w:pPr>
                  <w:r>
                    <w:rPr>
                      <w:sz w:val="17"/>
                      <w:szCs w:val="17"/>
                    </w:rPr>
                    <w:t xml:space="preserve">Kazıma ile toplama</w:t>
                  </w:r>
                </w:p>
              </w:tc>
              <w:tc>
                <w:tcPr>
                  <w:tcW w:w="4214" w:type="dxa"/>
                  <w:tcMar>
                    <w:top w:w="30" w:type="dxa"/>
                    <w:bottom w:w="30" w:type="dxa"/>
                  </w:tcMar>
                  <w:vAlign w:val="center"/>
                </w:tcPr>
                <w:p>
                  <w:pPr>
                    <w:spacing w:before="0" w:after="0"/>
                    <w:jc w:val="left"/>
                  </w:pPr>
                  <w:r>
                    <w:rPr>
                      <w:sz w:val="17"/>
                      <w:szCs w:val="17"/>
                    </w:rPr>
                    <w:t xml:space="preserve">Yapılmadı. Savunmasız bireylere ait sağlık verisi niteliğinde olduğundan etik kurul kararı olmadan toplanmadı. Açık Türkçe veri kümeleri tarandı, uygun gerçek kullanıcı verisi bulunamadı (kümeler çeviri ya da sentetik; oasst2'de yalnızca 10 Türkçe kullanıcı mesajı var).</w:t>
                  </w:r>
                </w:p>
              </w:tc>
            </w:tr>
            <w:tr>
              <w:trPr>
                <w:cantSplit/>
              </w:trPr>
              <w:tc>
                <w:tcPr>
                  <w:tcW w:w="2426" w:type="dxa"/>
                  <w:tcMar>
                    <w:top w:w="30" w:type="dxa"/>
                    <w:bottom w:w="30" w:type="dxa"/>
                  </w:tcMar>
                  <w:vAlign w:val="center"/>
                </w:tcPr>
                <w:p>
                  <w:pPr>
                    <w:spacing w:before="0" w:after="0"/>
                    <w:jc w:val="left"/>
                  </w:pPr>
                  <w:r>
                    <w:rPr>
                      <w:sz w:val="17"/>
                      <w:szCs w:val="17"/>
                    </w:rPr>
                    <w:t xml:space="preserve">Anonim gerçek terapi diyalogları</w:t>
                  </w:r>
                </w:p>
              </w:tc>
              <w:tc>
                <w:tcPr>
                  <w:tcW w:w="2540" w:type="dxa"/>
                  <w:tcMar>
                    <w:top w:w="30" w:type="dxa"/>
                    <w:bottom w:w="30" w:type="dxa"/>
                  </w:tcMar>
                  <w:vAlign w:val="center"/>
                </w:tcPr>
                <w:p>
                  <w:pPr>
                    <w:spacing w:before="0" w:after="0"/>
                    <w:jc w:val="left"/>
                  </w:pPr>
                  <w:r>
                    <w:rPr>
                      <w:sz w:val="17"/>
                      <w:szCs w:val="17"/>
                    </w:rPr>
                    <w:t xml:space="preserve">Kaynak olarak kullanım</w:t>
                  </w:r>
                </w:p>
              </w:tc>
              <w:tc>
                <w:tcPr>
                  <w:tcW w:w="4214" w:type="dxa"/>
                  <w:tcMar>
                    <w:top w:w="30" w:type="dxa"/>
                    <w:bottom w:w="30" w:type="dxa"/>
                  </w:tcMar>
                  <w:vAlign w:val="center"/>
                </w:tcPr>
                <w:p>
                  <w:pPr>
                    <w:spacing w:before="0" w:after="0"/>
                    <w:jc w:val="left"/>
                  </w:pPr>
                  <w:r>
                    <w:rPr>
                      <w:sz w:val="17"/>
                      <w:szCs w:val="17"/>
                    </w:rPr>
                    <w:t xml:space="preserve">Kullanılmadı; erişim ve etik onay süreci açık. Uzman yazımı korpustan kalıp düzeyinde bir Türkçe ifade bankası çıkarıldı, satırların kendisi eğitime girmedi.</w:t>
                  </w:r>
                </w:p>
              </w:tc>
            </w:tr>
            <w:tr>
              <w:trPr>
                <w:cantSplit/>
              </w:trPr>
              <w:tc>
                <w:tcPr>
                  <w:tcW w:w="2426" w:type="dxa"/>
                  <w:tcMar>
                    <w:top w:w="30" w:type="dxa"/>
                    <w:bottom w:w="30" w:type="dxa"/>
                  </w:tcMar>
                  <w:vAlign w:val="center"/>
                </w:tcPr>
                <w:p>
                  <w:pPr>
                    <w:spacing w:before="0" w:after="0"/>
                    <w:jc w:val="left"/>
                  </w:pPr>
                  <w:r>
                    <w:rPr>
                      <w:sz w:val="17"/>
                      <w:szCs w:val="17"/>
                    </w:rPr>
                    <w:t xml:space="preserve">Kriz yönetimi senaryoları</w:t>
                  </w:r>
                </w:p>
              </w:tc>
              <w:tc>
                <w:tcPr>
                  <w:tcW w:w="2540" w:type="dxa"/>
                  <w:tcMar>
                    <w:top w:w="30" w:type="dxa"/>
                    <w:bottom w:w="30" w:type="dxa"/>
                  </w:tcMar>
                  <w:vAlign w:val="center"/>
                </w:tcPr>
                <w:p>
                  <w:pPr>
                    <w:spacing w:before="0" w:after="0"/>
                    <w:jc w:val="left"/>
                  </w:pPr>
                  <w:r>
                    <w:rPr>
                      <w:sz w:val="17"/>
                      <w:szCs w:val="17"/>
                    </w:rPr>
                    <w:t xml:space="preserve">Tablo 4'te yer alıyor</w:t>
                  </w:r>
                </w:p>
              </w:tc>
              <w:tc>
                <w:tcPr>
                  <w:tcW w:w="4214" w:type="dxa"/>
                  <w:tcMar>
                    <w:top w:w="30" w:type="dxa"/>
                    <w:bottom w:w="30" w:type="dxa"/>
                  </w:tcMar>
                  <w:vAlign w:val="center"/>
                </w:tcPr>
                <w:p>
                  <w:pPr>
                    <w:spacing w:before="0" w:after="0"/>
                    <w:jc w:val="left"/>
                  </w:pPr>
                  <w:r>
                    <w:rPr>
                      <w:sz w:val="17"/>
                      <w:szCs w:val="17"/>
                    </w:rPr>
                    <w:t xml:space="preserve">Üretilmedi (0 kayıt). Kriz davranışı klinik uzman ve etik kurul onayı gerektiriyor. Güvenlik Planı'na dayalı 6 adımlı protokol taslağı hazır, iki adımı uzman kararını bekliyor. Kriz dilimi olmamasının İP2'deki bedeli ölçüldü (Bölüm İP2.8).</w:t>
                  </w:r>
                </w:p>
              </w:tc>
            </w:tr>
            <w:tr>
              <w:trPr>
                <w:cantSplit/>
              </w:trPr>
              <w:tc>
                <w:tcPr>
                  <w:tcW w:w="2426" w:type="dxa"/>
                  <w:tcMar>
                    <w:top w:w="30" w:type="dxa"/>
                    <w:bottom w:w="30" w:type="dxa"/>
                  </w:tcMar>
                  <w:vAlign w:val="center"/>
                </w:tcPr>
                <w:p>
                  <w:pPr>
                    <w:spacing w:before="0" w:after="0"/>
                    <w:jc w:val="left"/>
                  </w:pPr>
                  <w:r>
                    <w:rPr>
                      <w:sz w:val="17"/>
                      <w:szCs w:val="17"/>
                    </w:rPr>
                    <w:t xml:space="preserve">Otomatik üretim modeli</w:t>
                  </w:r>
                </w:p>
              </w:tc>
              <w:tc>
                <w:tcPr>
                  <w:tcW w:w="2540" w:type="dxa"/>
                  <w:tcMar>
                    <w:top w:w="30" w:type="dxa"/>
                    <w:bottom w:w="30" w:type="dxa"/>
                  </w:tcMar>
                  <w:vAlign w:val="center"/>
                </w:tcPr>
                <w:p>
                  <w:pPr>
                    <w:spacing w:before="0" w:after="0"/>
                    <w:jc w:val="left"/>
                  </w:pPr>
                  <w:r>
                    <w:rPr>
                      <w:sz w:val="17"/>
                      <w:szCs w:val="17"/>
                    </w:rPr>
                    <w:t xml:space="preserve">GPT-4, turkish-gpt2</w:t>
                  </w:r>
                </w:p>
              </w:tc>
              <w:tc>
                <w:tcPr>
                  <w:tcW w:w="4214" w:type="dxa"/>
                  <w:tcMar>
                    <w:top w:w="30" w:type="dxa"/>
                    <w:bottom w:w="30" w:type="dxa"/>
                  </w:tcMar>
                  <w:vAlign w:val="center"/>
                </w:tcPr>
                <w:p>
                  <w:pPr>
                    <w:spacing w:before="0" w:after="0"/>
                    <w:jc w:val="left"/>
                  </w:pPr>
                  <w:r>
                    <w:rPr>
                      <w:sz w:val="17"/>
                      <w:szCs w:val="17"/>
                    </w:rPr>
                    <w:t xml:space="preserve">Claude Code ve subagent'ları (Claude Sonnet / Haiku). Öneri yazıldıktan sonra çıkan daha yetenekli modeller tercih edildi. Üretici model her kaydın meta verisinde yazılı; judge bias'ı ayrıca ölçüldü (Bölüm İP1.7).</w:t>
                  </w:r>
                </w:p>
              </w:tc>
            </w:tr>
            <w:tr>
              <w:trPr>
                <w:cantSplit/>
              </w:trPr>
              <w:tc>
                <w:tcPr>
                  <w:tcW w:w="2426" w:type="dxa"/>
                  <w:tcMar>
                    <w:top w:w="30" w:type="dxa"/>
                    <w:bottom w:w="30" w:type="dxa"/>
                  </w:tcMar>
                  <w:vAlign w:val="center"/>
                </w:tcPr>
                <w:p>
                  <w:pPr>
                    <w:spacing w:before="0" w:after="0"/>
                    <w:jc w:val="left"/>
                  </w:pPr>
                  <w:r>
                    <w:rPr>
                      <w:sz w:val="17"/>
                      <w:szCs w:val="17"/>
                    </w:rPr>
                    <w:t xml:space="preserve">Türkçe büyük/küçük harf</w:t>
                  </w:r>
                </w:p>
              </w:tc>
              <w:tc>
                <w:tcPr>
                  <w:tcW w:w="2540" w:type="dxa"/>
                  <w:tcMar>
                    <w:top w:w="30" w:type="dxa"/>
                    <w:bottom w:w="30" w:type="dxa"/>
                  </w:tcMar>
                  <w:vAlign w:val="center"/>
                </w:tcPr>
                <w:p>
                  <w:pPr>
                    <w:spacing w:before="0" w:after="0"/>
                    <w:jc w:val="left"/>
                  </w:pPr>
                  <w:r>
                    <w:rPr>
                      <w:sz w:val="17"/>
                      <w:szCs w:val="17"/>
                    </w:rPr>
                    <w:t xml:space="preserve">—</w:t>
                  </w:r>
                </w:p>
              </w:tc>
              <w:tc>
                <w:tcPr>
                  <w:tcW w:w="4214" w:type="dxa"/>
                  <w:tcMar>
                    <w:top w:w="30" w:type="dxa"/>
                    <w:bottom w:w="30" w:type="dxa"/>
                  </w:tcMar>
                  <w:vAlign w:val="center"/>
                </w:tcPr>
                <w:p>
                  <w:pPr>
                    <w:spacing w:before="0" w:after="0"/>
                    <w:jc w:val="left"/>
                  </w:pPr>
                  <w:r>
                    <w:rPr>
                      <w:sz w:val="17"/>
                      <w:szCs w:val="17"/>
                    </w:rPr>
                    <w:t xml:space="preserve">Standart küçük harfe çevirme Türkçe I/İ harflerini yanlış dönüştürüyor. Yasak ifade kontrolü bu yüzden 38 ifadenin 26'sını Türkçe büyük harfle, 14'ünü ASCII büyük harfle yazıldığında yakalayamıyordu. Türkçeye özgü bir case folding işlevi yazılıp bütün kontrollere uygulandı; kaçak 0'a indi.</w:t>
                  </w:r>
                </w:p>
              </w:tc>
            </w:tr>
            <w:tr>
              <w:trPr>
                <w:cantSplit/>
              </w:trPr>
              <w:tc>
                <w:tcPr>
                  <w:tcW w:w="2426" w:type="dxa"/>
                  <w:tcMar>
                    <w:top w:w="30" w:type="dxa"/>
                    <w:bottom w:w="30" w:type="dxa"/>
                  </w:tcMar>
                  <w:vAlign w:val="center"/>
                </w:tcPr>
                <w:p>
                  <w:pPr>
                    <w:spacing w:before="0" w:after="0"/>
                    <w:jc w:val="left"/>
                  </w:pPr>
                  <w:r>
                    <w:rPr>
                      <w:sz w:val="17"/>
                      <w:szCs w:val="17"/>
                    </w:rPr>
                    <w:t xml:space="preserve">Genel yetenek koruması (replay)</w:t>
                  </w:r>
                </w:p>
              </w:tc>
              <w:tc>
                <w:tcPr>
                  <w:tcW w:w="2540" w:type="dxa"/>
                  <w:tcMar>
                    <w:top w:w="30" w:type="dxa"/>
                    <w:bottom w:w="30" w:type="dxa"/>
                  </w:tcMar>
                  <w:vAlign w:val="center"/>
                </w:tcPr>
                <w:p>
                  <w:pPr>
                    <w:spacing w:before="0" w:after="0"/>
                    <w:jc w:val="left"/>
                  </w:pPr>
                  <w:r>
                    <w:rPr>
                      <w:sz w:val="17"/>
                      <w:szCs w:val="17"/>
                    </w:rPr>
                    <w:t xml:space="preserve">—</w:t>
                  </w:r>
                </w:p>
              </w:tc>
              <w:tc>
                <w:tcPr>
                  <w:tcW w:w="4214" w:type="dxa"/>
                  <w:tcMar>
                    <w:top w:w="30" w:type="dxa"/>
                    <w:bottom w:w="30" w:type="dxa"/>
                  </w:tcMar>
                  <w:vAlign w:val="center"/>
                </w:tcPr>
                <w:p>
                  <w:pPr>
                    <w:spacing w:before="0" w:after="0"/>
                    <w:jc w:val="left"/>
                  </w:pPr>
                  <w:r>
                    <w:rPr>
                      <w:sz w:val="17"/>
                      <w:szCs w:val="17"/>
                    </w:rPr>
                    <w:t xml:space="preserve">Hedef %15, gerçekleşen %1,7. Daha yüksek oranın forgetting'i azalttığı yalnızca deney kolunda gösterilebildi; ana hatta alınması gelecek döneme kaldı.</w:t>
                  </w:r>
                </w:p>
              </w:tc>
            </w:tr>
            <w:tr>
              <w:trPr>
                <w:cantSplit/>
              </w:trPr>
              <w:tc>
                <w:tcPr>
                  <w:tcW w:w="2426" w:type="dxa"/>
                  <w:tcMar>
                    <w:top w:w="30" w:type="dxa"/>
                    <w:bottom w:w="30" w:type="dxa"/>
                  </w:tcMar>
                  <w:vAlign w:val="center"/>
                </w:tcPr>
                <w:p>
                  <w:pPr>
                    <w:spacing w:before="0" w:after="0"/>
                    <w:jc w:val="left"/>
                  </w:pPr>
                  <w:r>
                    <w:rPr>
                      <w:sz w:val="17"/>
                      <w:szCs w:val="17"/>
                    </w:rPr>
                    <w:t xml:space="preserve">Duygu tonu etiketi</w:t>
                  </w:r>
                </w:p>
              </w:tc>
              <w:tc>
                <w:tcPr>
                  <w:tcW w:w="2540" w:type="dxa"/>
                  <w:tcMar>
                    <w:top w:w="30" w:type="dxa"/>
                    <w:bottom w:w="30" w:type="dxa"/>
                  </w:tcMar>
                  <w:vAlign w:val="center"/>
                </w:tcPr>
                <w:p>
                  <w:pPr>
                    <w:spacing w:before="0" w:after="0"/>
                    <w:jc w:val="left"/>
                  </w:pPr>
                  <w:r>
                    <w:rPr>
                      <w:sz w:val="17"/>
                      <w:szCs w:val="17"/>
                    </w:rPr>
                    <w:t xml:space="preserve">Pozitif/negatif/nötr</w:t>
                  </w:r>
                </w:p>
              </w:tc>
              <w:tc>
                <w:tcPr>
                  <w:tcW w:w="4214" w:type="dxa"/>
                  <w:tcMar>
                    <w:top w:w="30" w:type="dxa"/>
                    <w:bottom w:w="30" w:type="dxa"/>
                  </w:tcMar>
                  <w:vAlign w:val="center"/>
                </w:tcPr>
                <w:p>
                  <w:pPr>
                    <w:spacing w:before="0" w:after="0"/>
                    <w:jc w:val="left"/>
                  </w:pPr>
                  <w:r>
                    <w:rPr>
                      <w:sz w:val="17"/>
                      <w:szCs w:val="17"/>
                    </w:rPr>
                    <w:t xml:space="preserve">Yapılmadı; etiket şeması İP4'teki duygu analizi ajanıyla birlikte belirlenecek.</w:t>
                  </w:r>
                </w:p>
              </w:tc>
            </w:tr>
          </w:tbl>
          <w:p>
            <w:pPr>
              <w:spacing w:before="0" w:after="0"/>
              <w:jc w:val="both"/>
            </w:pPr>
          </w:p>
          <w:p>
            <w:pPr>
              <w:spacing w:before="0" w:after="100"/>
              <w:jc w:val="left"/>
            </w:pPr>
            <w:r>
              <w:rPr>
                <w:i/>
                <w:iCs/>
                <w:sz w:val="17"/>
                <w:szCs w:val="17"/>
              </w:rPr>
              <w:t xml:space="preserve">Tablo 3. Öneriden sapmalar ve uygulanan B planları. Kaynak: </w:t>
            </w:r>
            <w:r>
              <w:rPr>
                <w:rFonts w:ascii="Consolas" w:hAnsi="Consolas" w:cs="Consolas"/>
                <w:i/>
                <w:iCs/>
                <w:sz w:val="15"/>
                <w:szCs w:val="15"/>
              </w:rPr>
              <w:t xml:space="preserve">docs/rapor/oneri-rapor-esleme.md</w:t>
            </w:r>
            <w:r>
              <w:rPr>
                <w:i/>
                <w:iCs/>
                <w:sz w:val="17"/>
                <w:szCs w:val="17"/>
              </w:rPr>
              <w:t xml:space="preserve"> · </w:t>
            </w:r>
            <w:r>
              <w:rPr>
                <w:rFonts w:ascii="Consolas" w:hAnsi="Consolas" w:cs="Consolas"/>
                <w:i/>
                <w:iCs/>
                <w:sz w:val="15"/>
                <w:szCs w:val="15"/>
              </w:rPr>
              <w:t xml:space="preserve">reports/analiz/2026-09-15-vahsi-dilim-kaynak-taramasi.md</w:t>
            </w:r>
            <w:r>
              <w:rPr>
                <w:i/>
                <w:iCs/>
                <w:sz w:val="17"/>
                <w:szCs w:val="17"/>
              </w:rPr>
              <w:t xml:space="preserve"> · </w:t>
            </w:r>
            <w:r>
              <w:rPr>
                <w:rFonts w:ascii="Consolas" w:hAnsi="Consolas" w:cs="Consolas"/>
                <w:i/>
                <w:iCs/>
                <w:sz w:val="15"/>
                <w:szCs w:val="15"/>
              </w:rPr>
              <w:t xml:space="preserve">reports/analiz/2026-09-16-buyuk-harf-kapisi.md</w:t>
            </w:r>
            <w:r>
              <w:rPr>
                <w:i/>
                <w:iCs/>
                <w:sz w:val="17"/>
                <w:szCs w:val="17"/>
              </w:rPr>
              <w:t xml:space="preserve">.</w:t>
            </w:r>
          </w:p>
          <w:p>
            <w:pPr>
              <w:keepNext/>
              <w:spacing w:before="200" w:after="60"/>
              <w:jc w:val="left"/>
            </w:pPr>
            <w:r>
              <w:rPr>
                <w:b/>
                <w:bCs/>
                <w:sz w:val="20"/>
                <w:szCs w:val="20"/>
              </w:rPr>
              <w:t xml:space="preserve">İP1.11 Ara çıktılar</w:t>
            </w:r>
          </w:p>
          <w:p>
            <w:pPr>
              <w:spacing w:before="60" w:after="60"/>
              <w:jc w:val="both"/>
            </w:pPr>
            <w:r>
              <w:rPr>
                <w:sz w:val="20"/>
                <w:szCs w:val="20"/>
              </w:rPr>
              <w:t xml:space="preserve">İP1 kapsamındaki ara çıktılar ekler bölümündedir:</w:t>
            </w:r>
          </w:p>
          <w:p>
            <w:pPr>
              <w:numPr>
                <w:ilvl w:val="0"/>
                <w:numId w:val="101"/>
              </w:numPr>
              <w:spacing w:before="20" w:after="20"/>
              <w:jc w:val="left"/>
            </w:pPr>
            <w:r>
              <w:rPr>
                <w:sz w:val="20"/>
                <w:szCs w:val="20"/>
              </w:rPr>
              <w:t xml:space="preserve">Ek 1-A: Veri kümesi kartları (</w:t>
            </w:r>
            <w:r>
              <w:rPr>
                <w:rFonts w:ascii="Consolas" w:hAnsi="Consolas" w:cs="Consolas"/>
                <w:sz w:val="18"/>
                <w:szCs w:val="18"/>
              </w:rPr>
              <w:t xml:space="preserve">v0.1.0</w:t>
            </w:r>
            <w:r>
              <w:rPr>
                <w:sz w:val="20"/>
                <w:szCs w:val="20"/>
              </w:rPr>
              <w:t xml:space="preserve">, </w:t>
            </w:r>
            <w:r>
              <w:rPr>
                <w:rFonts w:ascii="Consolas" w:hAnsi="Consolas" w:cs="Consolas"/>
                <w:sz w:val="18"/>
                <w:szCs w:val="18"/>
              </w:rPr>
              <w:t xml:space="preserve">v0.1.1</w:t>
            </w:r>
            <w:r>
              <w:rPr>
                <w:sz w:val="20"/>
                <w:szCs w:val="20"/>
              </w:rPr>
              <w:t xml:space="preserve">) ve manifestler (https://huggingface.co/datasets/yildirim34/birag-dataset)</w:t>
            </w:r>
          </w:p>
          <w:p>
            <w:pPr>
              <w:numPr>
                <w:ilvl w:val="0"/>
                <w:numId w:val="101"/>
              </w:numPr>
              <w:spacing w:before="20" w:after="20"/>
              <w:jc w:val="both"/>
            </w:pPr>
            <w:r>
              <w:rPr>
                <w:sz w:val="20"/>
                <w:szCs w:val="20"/>
              </w:rPr>
              <w:t xml:space="preserve">Ek 1-B: Kontrollü sözlük / taksonomi (</w:t>
            </w:r>
            <w:r>
              <w:rPr>
                <w:rFonts w:ascii="Consolas" w:hAnsi="Consolas" w:cs="Consolas"/>
                <w:sz w:val="18"/>
                <w:szCs w:val="18"/>
              </w:rPr>
              <w:t xml:space="preserve">configs/taxonomy.yaml</w:t>
            </w:r>
            <w:r>
              <w:rPr>
                <w:sz w:val="20"/>
                <w:szCs w:val="20"/>
              </w:rPr>
              <w:t xml:space="preserve">)</w:t>
            </w:r>
          </w:p>
          <w:p>
            <w:pPr>
              <w:numPr>
                <w:ilvl w:val="0"/>
                <w:numId w:val="101"/>
              </w:numPr>
              <w:spacing w:before="20" w:after="20"/>
              <w:jc w:val="both"/>
            </w:pPr>
            <w:r>
              <w:rPr>
                <w:sz w:val="20"/>
                <w:szCs w:val="20"/>
              </w:rPr>
              <w:t xml:space="preserve">Ek 1-C: Terapötik çerçeve notları, 19 davranış yönergesi ve yasak ifade listesi</w:t>
            </w:r>
          </w:p>
          <w:p>
            <w:pPr>
              <w:numPr>
                <w:ilvl w:val="0"/>
                <w:numId w:val="101"/>
              </w:numPr>
              <w:spacing w:before="20" w:after="20"/>
              <w:jc w:val="both"/>
            </w:pPr>
            <w:r>
              <w:rPr>
                <w:sz w:val="20"/>
                <w:szCs w:val="20"/>
              </w:rPr>
              <w:t xml:space="preserve">Ek 1-D: Senaryo başına örnek talimat kayıtları (öneri formu Tablo 4'ün gerçekleşen karşılığı)</w:t>
            </w:r>
          </w:p>
          <w:p>
            <w:pPr>
              <w:numPr>
                <w:ilvl w:val="0"/>
                <w:numId w:val="101"/>
              </w:numPr>
              <w:spacing w:before="20" w:after="20"/>
              <w:jc w:val="both"/>
            </w:pPr>
            <w:r>
              <w:rPr>
                <w:sz w:val="20"/>
                <w:szCs w:val="20"/>
              </w:rPr>
              <w:t xml:space="preserve">Ek 1-E: Değerlendirme setleri ve değerlendirme protokolü</w:t>
            </w:r>
          </w:p>
          <w:p>
            <w:pPr>
              <w:numPr>
                <w:ilvl w:val="0"/>
                <w:numId w:val="101"/>
              </w:numPr>
              <w:spacing w:before="20" w:after="20"/>
              <w:jc w:val="both"/>
            </w:pPr>
            <w:r>
              <w:rPr>
                <w:sz w:val="20"/>
                <w:szCs w:val="20"/>
              </w:rPr>
              <w:t xml:space="preserve">Ek 1-F: Uzman brifingi ve uzman puanlama analizi</w:t>
            </w:r>
          </w:p>
          <w:p>
            <w:pPr>
              <w:numPr>
                <w:ilvl w:val="0"/>
                <w:numId w:val="101"/>
              </w:numPr>
              <w:spacing w:before="20" w:after="20"/>
              <w:jc w:val="left"/>
            </w:pPr>
            <w:r>
              <w:rPr>
                <w:sz w:val="20"/>
                <w:szCs w:val="20"/>
              </w:rPr>
              <w:t xml:space="preserve">Ek 1-G: Üretim ve kalite kontrol yazılımı (</w:t>
            </w:r>
            <w:r>
              <w:rPr>
                <w:rFonts w:ascii="Consolas" w:hAnsi="Consolas" w:cs="Consolas"/>
                <w:sz w:val="18"/>
                <w:szCs w:val="18"/>
              </w:rPr>
              <w:t xml:space="preserve">src/</w:t>
            </w:r>
            <w:r>
              <w:rPr>
                <w:sz w:val="20"/>
                <w:szCs w:val="20"/>
              </w:rPr>
              <w:t xml:space="preserve">), analiz betikleri ve raporları (</w:t>
            </w:r>
            <w:r>
              <w:rPr>
                <w:rFonts w:ascii="Consolas" w:hAnsi="Consolas" w:cs="Consolas"/>
                <w:sz w:val="18"/>
                <w:szCs w:val="18"/>
              </w:rPr>
              <w:t xml:space="preserve">scripts/analiz/</w:t>
            </w:r>
            <w:r>
              <w:rPr>
                <w:sz w:val="20"/>
                <w:szCs w:val="20"/>
              </w:rPr>
              <w:t xml:space="preserve">, </w:t>
            </w:r>
            <w:r>
              <w:rPr>
                <w:rFonts w:ascii="Consolas" w:hAnsi="Consolas" w:cs="Consolas"/>
                <w:sz w:val="18"/>
                <w:szCs w:val="18"/>
              </w:rPr>
              <w:t xml:space="preserve">reports/analiz/</w:t>
            </w:r>
            <w:r>
              <w:rPr>
                <w:sz w:val="20"/>
                <w:szCs w:val="20"/>
              </w:rPr>
              <w:t xml:space="preserve">); kaynak kodun tamamı: https://github.com/enveryildirim/birag-data-generation</w:t>
            </w:r>
          </w:p>
          <w:p>
            <w:pPr>
              <w:keepNext/>
              <w:spacing w:before="200" w:after="60"/>
              <w:jc w:val="left"/>
            </w:pPr>
            <w:r>
              <w:rPr>
                <w:b/>
                <w:bCs/>
                <w:sz w:val="20"/>
                <w:szCs w:val="20"/>
              </w:rPr>
              <w:t xml:space="preserve">Kaynaklar</w:t>
            </w:r>
          </w:p>
          <w:p>
            <w:pPr>
              <w:numPr>
                <w:ilvl w:val="0"/>
                <w:numId w:val="101"/>
              </w:numPr>
              <w:spacing w:before="20" w:after="20"/>
              <w:jc w:val="both"/>
            </w:pPr>
            <w:r>
              <w:rPr>
                <w:sz w:val="20"/>
                <w:szCs w:val="20"/>
              </w:rPr>
              <w:t xml:space="preserve">Cheng, M. vd. (2025). Sycophantic AI decreases prosocial intentions and promotes dependence. arXiv:2510.01395.</w:t>
            </w:r>
          </w:p>
          <w:p>
            <w:pPr>
              <w:numPr>
                <w:ilvl w:val="0"/>
                <w:numId w:val="101"/>
              </w:numPr>
              <w:spacing w:before="20" w:after="20"/>
              <w:jc w:val="both"/>
            </w:pPr>
            <w:r>
              <w:rPr>
                <w:sz w:val="20"/>
                <w:szCs w:val="20"/>
              </w:rPr>
              <w:t xml:space="preserve">Gebru, T., Morgenstern, J., Vecchione, B., Wortman Vaughan, J., Wallach, H., Daumé III, H. ve Crawford, K. (2021). Datasheets for datasets. </w:t>
            </w:r>
            <w:r>
              <w:rPr>
                <w:i/>
                <w:iCs/>
                <w:sz w:val="20"/>
                <w:szCs w:val="20"/>
              </w:rPr>
              <w:t xml:space="preserve">Communications of the ACM</w:t>
            </w:r>
            <w:r>
              <w:rPr>
                <w:sz w:val="20"/>
                <w:szCs w:val="20"/>
              </w:rPr>
              <w:t xml:space="preserve">, 64(12), 86–92.</w:t>
            </w:r>
          </w:p>
          <w:p>
            <w:pPr>
              <w:numPr>
                <w:ilvl w:val="0"/>
                <w:numId w:val="101"/>
              </w:numPr>
              <w:spacing w:before="20" w:after="20"/>
              <w:jc w:val="both"/>
            </w:pPr>
            <w:r>
              <w:rPr>
                <w:sz w:val="20"/>
                <w:szCs w:val="20"/>
              </w:rPr>
              <w:t xml:space="preserve">Larimer, M. E., Palmer, R. S. ve Marlatt, G. A. (1999). Relapse prevention: An overview of Marlatt's cognitive-behavioral model. </w:t>
            </w:r>
            <w:r>
              <w:rPr>
                <w:i/>
                <w:iCs/>
                <w:sz w:val="20"/>
                <w:szCs w:val="20"/>
              </w:rPr>
              <w:t xml:space="preserve">Alcohol Research &amp; Health</w:t>
            </w:r>
            <w:r>
              <w:rPr>
                <w:sz w:val="20"/>
                <w:szCs w:val="20"/>
              </w:rPr>
              <w:t xml:space="preserve">, 23(2), 151–160.</w:t>
            </w:r>
          </w:p>
          <w:p>
            <w:pPr>
              <w:numPr>
                <w:ilvl w:val="0"/>
                <w:numId w:val="101"/>
              </w:numPr>
              <w:spacing w:before="20" w:after="20"/>
              <w:jc w:val="both"/>
            </w:pPr>
            <w:r>
              <w:rPr>
                <w:sz w:val="20"/>
                <w:szCs w:val="20"/>
              </w:rPr>
              <w:t xml:space="preserve">Moyers, T. B., Manuel, J. K. ve Ernst, D. (2016). </w:t>
            </w:r>
            <w:r>
              <w:rPr>
                <w:i/>
                <w:iCs/>
                <w:sz w:val="20"/>
                <w:szCs w:val="20"/>
              </w:rPr>
              <w:t xml:space="preserve">Motivational Interviewing Treatment Integrity Coding Manual 4.2.1</w:t>
            </w:r>
            <w:r>
              <w:rPr>
                <w:sz w:val="20"/>
                <w:szCs w:val="20"/>
              </w:rPr>
              <w:t xml:space="preserve">. University of New Mexico, CASAA.</w:t>
            </w:r>
          </w:p>
          <w:p>
            <w:pPr>
              <w:numPr>
                <w:ilvl w:val="0"/>
                <w:numId w:val="101"/>
              </w:numPr>
              <w:spacing w:before="20" w:after="20"/>
              <w:jc w:val="both"/>
            </w:pPr>
            <w:r>
              <w:rPr>
                <w:sz w:val="20"/>
                <w:szCs w:val="20"/>
              </w:rPr>
              <w:t xml:space="preserve">SAMHSA (2019). </w:t>
            </w:r>
            <w:r>
              <w:rPr>
                <w:i/>
                <w:iCs/>
                <w:sz w:val="20"/>
                <w:szCs w:val="20"/>
              </w:rPr>
              <w:t xml:space="preserve">Enhancing Motivation for Change in Substance Use Disorder Treatment</w:t>
            </w:r>
            <w:r>
              <w:rPr>
                <w:sz w:val="20"/>
                <w:szCs w:val="20"/>
              </w:rPr>
              <w:t xml:space="preserve"> (TIP 35). Substance Abuse and Mental Health Services Administration.</w:t>
            </w:r>
          </w:p>
          <w:p>
            <w:pPr>
              <w:numPr>
                <w:ilvl w:val="0"/>
                <w:numId w:val="101"/>
              </w:numPr>
              <w:spacing w:before="20" w:after="20"/>
              <w:jc w:val="both"/>
            </w:pPr>
            <w:r>
              <w:rPr>
                <w:sz w:val="20"/>
                <w:szCs w:val="20"/>
              </w:rPr>
              <w:t xml:space="preserve">Sharma, A., Miner, A. S., Atkins, D. C. ve Althoff, T. (2020). A computational approach to understanding empathy expressed in text-based mental health support. </w:t>
            </w:r>
            <w:r>
              <w:rPr>
                <w:i/>
                <w:iCs/>
                <w:sz w:val="20"/>
                <w:szCs w:val="20"/>
              </w:rPr>
              <w:t xml:space="preserve">Proceedings of EMNLP 2020</w:t>
            </w:r>
            <w:r>
              <w:rPr>
                <w:sz w:val="20"/>
                <w:szCs w:val="20"/>
              </w:rPr>
              <w:t xml:space="preserve">, 5263–5276.</w:t>
            </w:r>
          </w:p>
          <w:p>
            <w:pPr>
              <w:numPr>
                <w:ilvl w:val="0"/>
                <w:numId w:val="101"/>
              </w:numPr>
              <w:spacing w:before="20" w:after="20"/>
              <w:jc w:val="both"/>
            </w:pPr>
            <w:r>
              <w:rPr>
                <w:sz w:val="20"/>
                <w:szCs w:val="20"/>
              </w:rPr>
              <w:t xml:space="preserve">Stanley, B. ve Brown, G. K. (2012). Safety planning intervention: A brief intervention to mitigate suicide risk. </w:t>
            </w:r>
            <w:r>
              <w:rPr>
                <w:i/>
                <w:iCs/>
                <w:sz w:val="20"/>
                <w:szCs w:val="20"/>
              </w:rPr>
              <w:t xml:space="preserve">Cognitive and Behavioral Practice</w:t>
            </w:r>
            <w:r>
              <w:rPr>
                <w:sz w:val="20"/>
                <w:szCs w:val="20"/>
              </w:rPr>
              <w:t xml:space="preserve">, 19(2), 256–264.</w:t>
            </w:r>
          </w:p>
          <w:p>
            <w:pPr>
              <w:numPr>
                <w:ilvl w:val="0"/>
                <w:numId w:val="101"/>
              </w:numPr>
              <w:spacing w:before="20" w:after="20"/>
              <w:jc w:val="both"/>
            </w:pPr>
            <w:r>
              <w:rPr>
                <w:sz w:val="20"/>
                <w:szCs w:val="20"/>
              </w:rPr>
              <w:t xml:space="preserve">Zheng, L. vd. (2023). Judging LLM-as-a-judge with MT-Bench and Chatbot Arena. </w:t>
            </w:r>
            <w:r>
              <w:rPr>
                <w:i/>
                <w:iCs/>
                <w:sz w:val="20"/>
                <w:szCs w:val="20"/>
              </w:rPr>
              <w:t xml:space="preserve">NeurIPS 2023 Datasets and Benchmarks Track</w:t>
            </w:r>
            <w:r>
              <w:rPr>
                <w:sz w:val="20"/>
                <w:szCs w:val="20"/>
              </w:rPr>
              <w:t xml:space="preserve">.</w:t>
            </w:r>
          </w:p>
          <w:p>
            <w:pPr>
              <w:spacing w:before="0" w:after="0"/>
              <w:jc w:val="both"/>
            </w:pPr>
          </w:p>
          <w:p w14:paraId="10088355" w14:textId="77777777" w:rsidR="00CA2B7D" w:rsidRPr="00D369C9" w:rsidRDefault="00CA2B7D" w:rsidP="00941186">
            <w:pPr>
              <w:numPr>
                <w:ilvl w:val="0"/>
                <w:numId w:val="1"/>
              </w:numPr>
              <w:rPr>
                <w:bCs/>
                <w:sz w:val="20"/>
                <w:szCs w:val="20"/>
              </w:rPr>
            </w:pPr>
            <w:r w:rsidRPr="00D369C9">
              <w:rPr>
                <w:b/>
                <w:bCs/>
                <w:sz w:val="20"/>
                <w:szCs w:val="20"/>
              </w:rPr>
              <w:t xml:space="preserve">İP Sonuçlarının İlgili </w:t>
            </w:r>
            <w:proofErr w:type="spellStart"/>
            <w:r w:rsidRPr="00D369C9">
              <w:rPr>
                <w:b/>
                <w:bCs/>
                <w:sz w:val="20"/>
                <w:szCs w:val="20"/>
              </w:rPr>
              <w:t>İP’nin</w:t>
            </w:r>
            <w:proofErr w:type="spellEnd"/>
            <w:r w:rsidRPr="00D369C9">
              <w:rPr>
                <w:b/>
                <w:bCs/>
                <w:sz w:val="20"/>
                <w:szCs w:val="20"/>
              </w:rPr>
              <w:t xml:space="preserve"> Başarı Ölçütleri Göz Önüne Alınarak Gerçekleşme Durumu</w:t>
            </w:r>
          </w:p>
          <w:p w14:paraId="31A30E66" w14:textId="77777777" w:rsidR="00CA2B7D" w:rsidRPr="00D369C9" w:rsidRDefault="00CA2B7D" w:rsidP="00941186">
            <w:pPr>
              <w:spacing w:before="60" w:after="60"/>
              <w:rPr>
                <w:i/>
                <w:color w:val="000000"/>
                <w:sz w:val="20"/>
                <w:szCs w:val="20"/>
              </w:rPr>
            </w:pPr>
            <w:proofErr w:type="spellStart"/>
            <w:r w:rsidRPr="0027357B">
              <w:rPr>
                <w:i/>
                <w:color w:val="000000"/>
                <w:sz w:val="18"/>
                <w:szCs w:val="20"/>
              </w:rPr>
              <w:t>İP’nin</w:t>
            </w:r>
            <w:proofErr w:type="spellEnd"/>
            <w:r w:rsidRPr="0027357B">
              <w:rPr>
                <w:i/>
                <w:color w:val="000000"/>
                <w:sz w:val="18"/>
                <w:szCs w:val="20"/>
              </w:rPr>
              <w:t xml:space="preserve"> tamamlanan rapor dönemi için gerçekleşme durumu, proje önerisinde belirlenmiş başarı ölçütleri </w:t>
            </w:r>
            <w:r w:rsidRPr="0027357B">
              <w:rPr>
                <w:i/>
                <w:sz w:val="18"/>
                <w:szCs w:val="20"/>
              </w:rPr>
              <w:t>dikkate alınarak kendi içinde ve proje bütünlüğü kapsamında bir değerlendirmesi yapılır.</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2250"/>
              <w:gridCol w:w="930"/>
              <w:gridCol w:w="3094"/>
              <w:gridCol w:w="2906"/>
            </w:tblGrid>
            <w:tr>
              <w:trPr>
                <w:cantSplit/>
                <w:tblHeader/>
              </w:trPr>
              <w:tc>
                <w:tcPr>
                  <w:tcW w:w="2250" w:type="dxa"/>
                  <w:shd w:val="clear" w:color="auto" w:fill="E7E6E6"/>
                  <w:tcMar>
                    <w:top w:w="30" w:type="dxa"/>
                    <w:bottom w:w="30" w:type="dxa"/>
                  </w:tcMar>
                  <w:vAlign w:val="center"/>
                </w:tcPr>
                <w:p>
                  <w:pPr>
                    <w:spacing w:before="0" w:after="0"/>
                    <w:jc w:val="left"/>
                  </w:pPr>
                  <w:r>
                    <w:rPr>
                      <w:b/>
                      <w:bCs/>
                      <w:sz w:val="17"/>
                      <w:szCs w:val="17"/>
                    </w:rPr>
                    <w:t xml:space="preserve">Başarı ölçütü (öneri formu)</w:t>
                  </w:r>
                </w:p>
              </w:tc>
              <w:tc>
                <w:tcPr>
                  <w:tcW w:w="930" w:type="dxa"/>
                  <w:shd w:val="clear" w:color="auto" w:fill="E7E6E6"/>
                  <w:tcMar>
                    <w:top w:w="30" w:type="dxa"/>
                    <w:bottom w:w="30" w:type="dxa"/>
                  </w:tcMar>
                  <w:vAlign w:val="center"/>
                </w:tcPr>
                <w:p>
                  <w:pPr>
                    <w:spacing w:before="0" w:after="0"/>
                    <w:jc w:val="left"/>
                  </w:pPr>
                  <w:r>
                    <w:rPr>
                      <w:b/>
                      <w:bCs/>
                      <w:sz w:val="17"/>
                      <w:szCs w:val="17"/>
                    </w:rPr>
                    <w:t xml:space="preserve">Hedef</w:t>
                  </w:r>
                </w:p>
              </w:tc>
              <w:tc>
                <w:tcPr>
                  <w:tcW w:w="3094" w:type="dxa"/>
                  <w:shd w:val="clear" w:color="auto" w:fill="E7E6E6"/>
                  <w:tcMar>
                    <w:top w:w="30" w:type="dxa"/>
                    <w:bottom w:w="30" w:type="dxa"/>
                  </w:tcMar>
                  <w:vAlign w:val="center"/>
                </w:tcPr>
                <w:p>
                  <w:pPr>
                    <w:spacing w:before="0" w:after="0"/>
                    <w:jc w:val="left"/>
                  </w:pPr>
                  <w:r>
                    <w:rPr>
                      <w:b/>
                      <w:bCs/>
                      <w:sz w:val="17"/>
                      <w:szCs w:val="17"/>
                    </w:rPr>
                    <w:t xml:space="preserve">Gerçekleşen</w:t>
                  </w:r>
                </w:p>
              </w:tc>
              <w:tc>
                <w:tcPr>
                  <w:tcW w:w="2906" w:type="dxa"/>
                  <w:shd w:val="clear" w:color="auto" w:fill="E7E6E6"/>
                  <w:tcMar>
                    <w:top w:w="30" w:type="dxa"/>
                    <w:bottom w:w="30" w:type="dxa"/>
                  </w:tcMar>
                  <w:vAlign w:val="center"/>
                </w:tcPr>
                <w:p>
                  <w:pPr>
                    <w:spacing w:before="0" w:after="0"/>
                    <w:jc w:val="left"/>
                  </w:pPr>
                  <w:r>
                    <w:rPr>
                      <w:b/>
                      <w:bCs/>
                      <w:sz w:val="17"/>
                      <w:szCs w:val="17"/>
                    </w:rPr>
                    <w:t xml:space="preserve">Durum</w:t>
                  </w:r>
                </w:p>
              </w:tc>
            </w:tr>
            <w:tr>
              <w:trPr>
                <w:cantSplit/>
              </w:trPr>
              <w:tc>
                <w:tcPr>
                  <w:tcW w:w="2250" w:type="dxa"/>
                  <w:tcMar>
                    <w:top w:w="30" w:type="dxa"/>
                    <w:bottom w:w="30" w:type="dxa"/>
                  </w:tcMar>
                  <w:vAlign w:val="center"/>
                </w:tcPr>
                <w:p>
                  <w:pPr>
                    <w:spacing w:before="0" w:after="0"/>
                    <w:jc w:val="left"/>
                  </w:pPr>
                  <w:r>
                    <w:rPr>
                      <w:sz w:val="17"/>
                      <w:szCs w:val="17"/>
                    </w:rPr>
                    <w:t xml:space="preserve">Talimat örneği sayısı</w:t>
                  </w:r>
                </w:p>
              </w:tc>
              <w:tc>
                <w:tcPr>
                  <w:tcW w:w="930" w:type="dxa"/>
                  <w:tcMar>
                    <w:top w:w="30" w:type="dxa"/>
                    <w:bottom w:w="30" w:type="dxa"/>
                  </w:tcMar>
                  <w:vAlign w:val="center"/>
                </w:tcPr>
                <w:p>
                  <w:pPr>
                    <w:spacing w:before="0" w:after="0"/>
                    <w:jc w:val="right"/>
                  </w:pPr>
                  <w:r>
                    <w:rPr>
                      <w:sz w:val="17"/>
                      <w:szCs w:val="17"/>
                    </w:rPr>
                    <w:t xml:space="preserve">10.000</w:t>
                  </w:r>
                </w:p>
              </w:tc>
              <w:tc>
                <w:tcPr>
                  <w:tcW w:w="3094" w:type="dxa"/>
                  <w:tcMar>
                    <w:top w:w="30" w:type="dxa"/>
                    <w:bottom w:w="30" w:type="dxa"/>
                  </w:tcMar>
                  <w:vAlign w:val="center"/>
                </w:tcPr>
                <w:p>
                  <w:pPr>
                    <w:spacing w:before="0" w:after="0"/>
                    <w:jc w:val="left"/>
                  </w:pPr>
                  <w:r>
                    <w:rPr>
                      <w:sz w:val="17"/>
                      <w:szCs w:val="17"/>
                    </w:rPr>
                    <w:t xml:space="preserve">Kesinleşmiş sürümde 1.058 kayıt (%10,6); ölçek-5k hattında 3.598 ara kayıt üretildi. 10.000'e kalite iyileştirmelerinden sonra tamamlanacak</w:t>
                  </w:r>
                </w:p>
              </w:tc>
              <w:tc>
                <w:tcPr>
                  <w:tcW w:w="2906" w:type="dxa"/>
                  <w:tcMar>
                    <w:top w:w="30" w:type="dxa"/>
                    <w:bottom w:w="30" w:type="dxa"/>
                  </w:tcMar>
                  <w:vAlign w:val="center"/>
                </w:tcPr>
                <w:p>
                  <w:pPr>
                    <w:spacing w:before="0" w:after="0"/>
                    <w:jc w:val="left"/>
                  </w:pPr>
                  <w:r>
                    <w:rPr>
                      <w:sz w:val="17"/>
                      <w:szCs w:val="17"/>
                    </w:rPr>
                    <w:t xml:space="preserve">Kısmen</w:t>
                  </w:r>
                </w:p>
              </w:tc>
            </w:tr>
            <w:tr>
              <w:trPr>
                <w:cantSplit/>
              </w:trPr>
              <w:tc>
                <w:tcPr>
                  <w:tcW w:w="2250" w:type="dxa"/>
                  <w:tcMar>
                    <w:top w:w="30" w:type="dxa"/>
                    <w:bottom w:w="30" w:type="dxa"/>
                  </w:tcMar>
                  <w:vAlign w:val="center"/>
                </w:tcPr>
                <w:p>
                  <w:pPr>
                    <w:spacing w:before="0" w:after="0"/>
                    <w:jc w:val="left"/>
                  </w:pPr>
                  <w:r>
                    <w:rPr>
                      <w:sz w:val="17"/>
                      <w:szCs w:val="17"/>
                    </w:rPr>
                    <w:t xml:space="preserve">Hedef senaryolarla uyumlu ve doğru biçimli</w:t>
                  </w:r>
                </w:p>
              </w:tc>
              <w:tc>
                <w:tcPr>
                  <w:tcW w:w="930" w:type="dxa"/>
                  <w:tcMar>
                    <w:top w:w="30" w:type="dxa"/>
                    <w:bottom w:w="30" w:type="dxa"/>
                  </w:tcMar>
                  <w:vAlign w:val="center"/>
                </w:tcPr>
                <w:p>
                  <w:pPr>
                    <w:spacing w:before="0" w:after="0"/>
                    <w:jc w:val="right"/>
                  </w:pPr>
                  <w:r>
                    <w:rPr>
                      <w:sz w:val="17"/>
                      <w:szCs w:val="17"/>
                    </w:rPr>
                    <w:t xml:space="preserve">%90</w:t>
                  </w:r>
                </w:p>
              </w:tc>
              <w:tc>
                <w:tcPr>
                  <w:tcW w:w="3094" w:type="dxa"/>
                  <w:tcMar>
                    <w:top w:w="30" w:type="dxa"/>
                    <w:bottom w:w="30" w:type="dxa"/>
                  </w:tcMar>
                  <w:vAlign w:val="center"/>
                </w:tcPr>
                <w:p>
                  <w:pPr>
                    <w:spacing w:before="0" w:after="0"/>
                    <w:jc w:val="left"/>
                  </w:pPr>
                  <w:r>
                    <w:rPr>
                      <w:sz w:val="17"/>
                      <w:szCs w:val="17"/>
                    </w:rPr>
                    <w:t xml:space="preserve">Kontrollerden ve judge'dan geçme %93,5 (1.058/1.132); senaryo listesine uyan %90,8 (944/1.040); biçim kontrolleri %100</w:t>
                  </w:r>
                </w:p>
              </w:tc>
              <w:tc>
                <w:tcPr>
                  <w:tcW w:w="2906" w:type="dxa"/>
                  <w:tcMar>
                    <w:top w:w="30" w:type="dxa"/>
                    <w:bottom w:w="30" w:type="dxa"/>
                  </w:tcMar>
                  <w:vAlign w:val="center"/>
                </w:tcPr>
                <w:p>
                  <w:pPr>
                    <w:spacing w:before="0" w:after="0"/>
                    <w:jc w:val="left"/>
                  </w:pPr>
                  <w:r>
                    <w:rPr>
                      <w:sz w:val="17"/>
                      <w:szCs w:val="17"/>
                    </w:rPr>
                    <w:t xml:space="preserve">Karşılandı</w:t>
                  </w:r>
                </w:p>
              </w:tc>
            </w:tr>
            <w:tr>
              <w:trPr>
                <w:cantSplit/>
              </w:trPr>
              <w:tc>
                <w:tcPr>
                  <w:tcW w:w="2250" w:type="dxa"/>
                  <w:tcMar>
                    <w:top w:w="30" w:type="dxa"/>
                    <w:bottom w:w="30" w:type="dxa"/>
                  </w:tcMar>
                  <w:vAlign w:val="center"/>
                </w:tcPr>
                <w:p>
                  <w:pPr>
                    <w:spacing w:before="0" w:after="0"/>
                    <w:jc w:val="left"/>
                  </w:pPr>
                  <w:r>
                    <w:rPr>
                      <w:sz w:val="17"/>
                      <w:szCs w:val="17"/>
                    </w:rPr>
                    <w:t xml:space="preserve">Dil modeliyle uyumlu</w:t>
                  </w:r>
                </w:p>
              </w:tc>
              <w:tc>
                <w:tcPr>
                  <w:tcW w:w="930" w:type="dxa"/>
                  <w:tcMar>
                    <w:top w:w="30" w:type="dxa"/>
                    <w:bottom w:w="30" w:type="dxa"/>
                  </w:tcMar>
                  <w:vAlign w:val="center"/>
                </w:tcPr>
                <w:p>
                  <w:pPr>
                    <w:spacing w:before="0" w:after="0"/>
                    <w:jc w:val="right"/>
                  </w:pPr>
                  <w:r>
                    <w:rPr>
                      <w:sz w:val="17"/>
                      <w:szCs w:val="17"/>
                    </w:rPr>
                    <w:t xml:space="preserve">%95</w:t>
                  </w:r>
                </w:p>
              </w:tc>
              <w:tc>
                <w:tcPr>
                  <w:tcW w:w="3094" w:type="dxa"/>
                  <w:tcMar>
                    <w:top w:w="30" w:type="dxa"/>
                    <w:bottom w:w="30" w:type="dxa"/>
                  </w:tcMar>
                  <w:vAlign w:val="center"/>
                </w:tcPr>
                <w:p>
                  <w:pPr>
                    <w:spacing w:before="0" w:after="0"/>
                    <w:jc w:val="left"/>
                  </w:pPr>
                  <w:r>
                    <w:rPr>
                      <w:sz w:val="17"/>
                      <w:szCs w:val="17"/>
                    </w:rPr>
                    <w:t xml:space="preserve">Şema + chat template, thinking korunarak: %100 (1.058/1.058)</w:t>
                  </w:r>
                </w:p>
              </w:tc>
              <w:tc>
                <w:tcPr>
                  <w:tcW w:w="2906" w:type="dxa"/>
                  <w:tcMar>
                    <w:top w:w="30" w:type="dxa"/>
                    <w:bottom w:w="30" w:type="dxa"/>
                  </w:tcMar>
                  <w:vAlign w:val="center"/>
                </w:tcPr>
                <w:p>
                  <w:pPr>
                    <w:spacing w:before="0" w:after="0"/>
                    <w:jc w:val="left"/>
                  </w:pPr>
                  <w:r>
                    <w:rPr>
                      <w:sz w:val="17"/>
                      <w:szCs w:val="17"/>
                    </w:rPr>
                    <w:t xml:space="preserve">Karşılandı</w:t>
                  </w:r>
                </w:p>
              </w:tc>
            </w:tr>
            <w:tr>
              <w:trPr>
                <w:cantSplit/>
              </w:trPr>
              <w:tc>
                <w:tcPr>
                  <w:tcW w:w="2250" w:type="dxa"/>
                  <w:tcMar>
                    <w:top w:w="30" w:type="dxa"/>
                    <w:bottom w:w="30" w:type="dxa"/>
                  </w:tcMar>
                  <w:vAlign w:val="center"/>
                </w:tcPr>
                <w:p>
                  <w:pPr>
                    <w:spacing w:before="0" w:after="0"/>
                    <w:jc w:val="left"/>
                  </w:pPr>
                  <w:r>
                    <w:rPr>
                      <w:sz w:val="17"/>
                      <w:szCs w:val="17"/>
                    </w:rPr>
                    <w:t xml:space="preserve">Türkçe veride olumlu değerlendirme</w:t>
                  </w:r>
                </w:p>
              </w:tc>
              <w:tc>
                <w:tcPr>
                  <w:tcW w:w="930" w:type="dxa"/>
                  <w:tcMar>
                    <w:top w:w="30" w:type="dxa"/>
                    <w:bottom w:w="30" w:type="dxa"/>
                  </w:tcMar>
                  <w:vAlign w:val="center"/>
                </w:tcPr>
                <w:p>
                  <w:pPr>
                    <w:spacing w:before="0" w:after="0"/>
                    <w:jc w:val="right"/>
                  </w:pPr>
                  <w:r>
                    <w:rPr>
                      <w:sz w:val="17"/>
                      <w:szCs w:val="17"/>
                    </w:rPr>
                    <w:t xml:space="preserve">%70</w:t>
                  </w:r>
                </w:p>
              </w:tc>
              <w:tc>
                <w:tcPr>
                  <w:tcW w:w="3094" w:type="dxa"/>
                  <w:tcMar>
                    <w:top w:w="30" w:type="dxa"/>
                    <w:bottom w:w="30" w:type="dxa"/>
                  </w:tcMar>
                  <w:vAlign w:val="center"/>
                </w:tcPr>
                <w:p>
                  <w:pPr>
                    <w:spacing w:before="0" w:after="0"/>
                    <w:jc w:val="left"/>
                  </w:pPr>
                  <w:r>
                    <w:rPr>
                      <w:sz w:val="17"/>
                      <w:szCs w:val="17"/>
                    </w:rPr>
                    <w:t xml:space="preserve">Uzman doğrudan kabul %68; sınırda dahil %90 (tek uzman, 50 kayıt)</w:t>
                  </w:r>
                </w:p>
              </w:tc>
              <w:tc>
                <w:tcPr>
                  <w:tcW w:w="2906" w:type="dxa"/>
                  <w:tcMar>
                    <w:top w:w="30" w:type="dxa"/>
                    <w:bottom w:w="30" w:type="dxa"/>
                  </w:tcMar>
                  <w:vAlign w:val="center"/>
                </w:tcPr>
                <w:p>
                  <w:pPr>
                    <w:spacing w:before="0" w:after="0"/>
                    <w:jc w:val="left"/>
                  </w:pPr>
                  <w:r>
                    <w:rPr>
                      <w:sz w:val="17"/>
                      <w:szCs w:val="17"/>
                    </w:rPr>
                    <w:t xml:space="preserve">Sınırda</w:t>
                  </w:r>
                </w:p>
              </w:tc>
            </w:tr>
            <w:tr>
              <w:trPr>
                <w:cantSplit/>
              </w:trPr>
              <w:tc>
                <w:tcPr>
                  <w:tcW w:w="2250" w:type="dxa"/>
                  <w:tcMar>
                    <w:top w:w="30" w:type="dxa"/>
                    <w:bottom w:w="30" w:type="dxa"/>
                  </w:tcMar>
                  <w:vAlign w:val="center"/>
                </w:tcPr>
                <w:p>
                  <w:pPr>
                    <w:spacing w:before="0" w:after="0"/>
                    <w:jc w:val="left"/>
                  </w:pPr>
                  <w:r>
                    <w:rPr>
                      <w:sz w:val="17"/>
                      <w:szCs w:val="17"/>
                    </w:rPr>
                    <w:t xml:space="preserve">Etik ve anonim</w:t>
                  </w:r>
                </w:p>
              </w:tc>
              <w:tc>
                <w:tcPr>
                  <w:tcW w:w="930" w:type="dxa"/>
                  <w:tcMar>
                    <w:top w:w="30" w:type="dxa"/>
                    <w:bottom w:w="30" w:type="dxa"/>
                  </w:tcMar>
                  <w:vAlign w:val="center"/>
                </w:tcPr>
                <w:p>
                  <w:pPr>
                    <w:spacing w:before="0" w:after="0"/>
                    <w:jc w:val="right"/>
                  </w:pPr>
                  <w:r>
                    <w:rPr>
                      <w:sz w:val="17"/>
                      <w:szCs w:val="17"/>
                    </w:rPr>
                    <w:t xml:space="preserve">%100</w:t>
                  </w:r>
                </w:p>
              </w:tc>
              <w:tc>
                <w:tcPr>
                  <w:tcW w:w="3094" w:type="dxa"/>
                  <w:tcMar>
                    <w:top w:w="30" w:type="dxa"/>
                    <w:bottom w:w="30" w:type="dxa"/>
                  </w:tcMar>
                  <w:vAlign w:val="center"/>
                </w:tcPr>
                <w:p>
                  <w:pPr>
                    <w:spacing w:before="0" w:after="0"/>
                    <w:jc w:val="left"/>
                  </w:pPr>
                  <w:r>
                    <w:rPr>
                      <w:sz w:val="17"/>
                      <w:szCs w:val="17"/>
                    </w:rPr>
                    <w:t xml:space="preserve">Tamamen sentetik; 9 PII deseninde 0 eşleşme (%100); sert yasak ifade 0</w:t>
                  </w:r>
                </w:p>
              </w:tc>
              <w:tc>
                <w:tcPr>
                  <w:tcW w:w="2906" w:type="dxa"/>
                  <w:tcMar>
                    <w:top w:w="30" w:type="dxa"/>
                    <w:bottom w:w="30" w:type="dxa"/>
                  </w:tcMar>
                  <w:vAlign w:val="center"/>
                </w:tcPr>
                <w:p>
                  <w:pPr>
                    <w:spacing w:before="0" w:after="0"/>
                    <w:jc w:val="left"/>
                  </w:pPr>
                  <w:r>
                    <w:rPr>
                      <w:sz w:val="17"/>
                      <w:szCs w:val="17"/>
                    </w:rPr>
                    <w:t xml:space="preserve">Karşılandı (kişi adı taraması ve etik kurul süreci açık)</w:t>
                  </w:r>
                </w:p>
              </w:tc>
            </w:tr>
          </w:tbl>
          <w:p>
            <w:pPr>
              <w:spacing w:before="0" w:after="0"/>
              <w:jc w:val="both"/>
            </w:pPr>
          </w:p>
          <w:p>
            <w:pPr>
              <w:spacing w:before="0" w:after="100"/>
              <w:jc w:val="left"/>
            </w:pPr>
            <w:r>
              <w:rPr>
                <w:i/>
                <w:iCs/>
                <w:sz w:val="17"/>
                <w:szCs w:val="17"/>
              </w:rPr>
              <w:t xml:space="preserve">Tablo 4. İP1 başarı ölçütlerinin gerçekleşme durumu. Kaynak: </w:t>
            </w:r>
            <w:r>
              <w:rPr>
                <w:rFonts w:ascii="Consolas" w:hAnsi="Consolas" w:cs="Consolas"/>
                <w:i/>
                <w:iCs/>
                <w:sz w:val="15"/>
                <w:szCs w:val="15"/>
              </w:rPr>
              <w:t xml:space="preserve">reports/analiz/2026-10-20-ip1-olcutler.md</w:t>
            </w:r>
            <w:r>
              <w:rPr>
                <w:i/>
                <w:iCs/>
                <w:sz w:val="17"/>
                <w:szCs w:val="17"/>
              </w:rPr>
              <w:t xml:space="preserve"> · </w:t>
            </w:r>
            <w:r>
              <w:rPr>
                <w:rFonts w:ascii="Consolas" w:hAnsi="Consolas" w:cs="Consolas"/>
                <w:i/>
                <w:iCs/>
                <w:sz w:val="15"/>
                <w:szCs w:val="15"/>
              </w:rPr>
              <w:t xml:space="preserve">reports/analiz/2026-09-14-uzman-puanlama-analizi.md</w:t>
            </w:r>
            <w:r>
              <w:rPr>
                <w:i/>
                <w:iCs/>
                <w:sz w:val="17"/>
                <w:szCs w:val="17"/>
              </w:rPr>
              <w:t xml:space="preserve">.</w:t>
            </w:r>
          </w:p>
          <w:p>
            <w:pPr>
              <w:spacing w:before="60" w:after="60"/>
              <w:jc w:val="both"/>
            </w:pPr>
            <w:r>
              <w:rPr>
                <w:sz w:val="20"/>
                <w:szCs w:val="20"/>
              </w:rPr>
              <w:t xml:space="preserve">Senaryo uyumu, dil modeli uyumu ve anonimlik ölçütleri hedefin üzerinde gerçekleşti; uzman kabulü sınırda kaldı. Eksik olan hacim: dönem sonunda kesinleşmiş sürümde 1.058 kayıt var. Dönemin ilk yarısında hacim yerine ölçüm altyapısına zaman ayırdığımız için bu fark beklenen bir sonuçtu. O sürede kalite kontrolleri, bias'ı ölçülmüş bir judge, uzman kalibrasyonu ve yeniden türetilebilir sürüm düzeni kuruldu. Altyapı hazır olduktan sonra hacim hızla büyüyebildi; üç aşamalı ölçek-5k hattı ilk günlerinde 3.598 ara kayıt üretti. Yine de şimdilik hacmi zorlamak yerine kaliteyi artırmayı seçtik. İP2'de görülen sorunlar (kriz örneklerinin eksikliği, abartılı sınır kalıpları) giderildikten sonra 10.000 örneği aynı hatla üreteceğiz.</w:t>
            </w:r>
          </w:p>
          <w:p>
            <w:pPr>
              <w:spacing w:before="60" w:after="60"/>
              <w:jc w:val="both"/>
            </w:pPr>
            <w:r>
              <w:rPr>
                <w:sz w:val="20"/>
                <w:szCs w:val="20"/>
              </w:rPr>
              <w:t xml:space="preserve">Kriz dilimi ayrıca ele alınmalı. Uzman ve etik kurul onayı olmadan bu dilimi üretmedik; İP2'de bu eksikliğin ince ayarlı modelde kriz yönlendirmesini zayıflattığı görüldü (Bölüm İP2.8). Ölçek-5k üretiminde de risk sinyali taşıyan kullanıcı turu olmadığından hacmin artması bu açığı kapatmayacak. Sonraki dönemin önceliği bu yüzden uzman onaylı kriz protokolüne dayanan bir kriz dilimi üretmek ve etik kurul sürecini tamamlamak. Uzman değerlendirmesinin ikinci bir uzmanla genişletilip uzmanlar arası uyumun ölçülmesi ve duygu tonu etiket şemasının İP4 ile belirlenmesi de gelecek döneme kaldı. Veri kümesi, sözlük ve değerlendirme setleri İP2'nin girdisi oldu. Bilgilendirme senaryolarının RAG'e bırakılması da İP3 ile iş bölümünü belirliyor.</w:t>
            </w:r>
          </w:p>
          <w:p>
            <w:pPr>
              <w:spacing w:before="0" w:after="0"/>
              <w:jc w:val="both"/>
            </w:pPr>
          </w:p>
        </w:tc>
      </w:tr>
    </w:tbl>
    <w:p>
      <w:r>
        <w:br w:type="page"/>
      </w:r>
    </w:p>
    <w:tbl>
      <w:tblPr>
        <w:tblW w:w="9604" w:type="dxa"/>
        <w:tblBorders>
          <w:top w:val="single" w:sz="8" w:space="0" w:color="000000"/>
          <w:left w:val="single" w:sz="8" w:space="0" w:color="000000"/>
          <w:bottom w:val="single" w:sz="8" w:space="0" w:color="000000"/>
          <w:right w:val="single" w:sz="8" w:space="0" w:color="000000"/>
          <w:insideH w:val="single" w:sz="4" w:space="0" w:color="auto"/>
          <w:insideV w:val="single" w:sz="4" w:space="0" w:color="auto"/>
        </w:tblBorders>
        <w:tblLook w:val="01E0" w:firstRow="1" w:lastRow="1" w:firstColumn="1" w:lastColumn="1" w:noHBand="0" w:noVBand="0"/>
      </w:tblPr>
      <w:tblGrid>
        <w:gridCol w:w="9604"/>
      </w:tblGrid>
      <w:tr w:rsidR="00CA2B7D" w:rsidRPr="00A259DC" w14:paraId="42ABF184" w14:textId="77777777" w:rsidTr="00941186">
        <w:tc>
          <w:tcPr>
            <w:tcW w:w="9604" w:type="dxa"/>
          </w:tcPr>
          <w:tbl>
            <w:tblPr>
              <w:tblW w:w="9201" w:type="dxa"/>
              <w:tblInd w:w="108" w:type="dxa"/>
              <w:tblBorders>
                <w:top w:val="single" w:sz="6" w:space="0" w:color="000000"/>
                <w:left w:val="single" w:sz="6" w:space="0" w:color="000000"/>
                <w:bottom w:val="single" w:sz="6" w:space="0" w:color="000000"/>
                <w:right w:val="single" w:sz="6" w:space="0" w:color="000000"/>
              </w:tblBorders>
              <w:tblLook w:val="0000" w:firstRow="0" w:lastRow="0" w:firstColumn="0" w:lastColumn="0" w:noHBand="0" w:noVBand="0"/>
            </w:tblPr>
            <w:tblGrid>
              <w:gridCol w:w="2333"/>
              <w:gridCol w:w="6868"/>
            </w:tblGrid>
            <w:tr w:rsidR="00CA2B7D" w:rsidRPr="00D369C9" w14:paraId="0C8D3561" w14:textId="77777777" w:rsidTr="00941186">
              <w:trPr>
                <w:cantSplit/>
                <w:trHeight w:val="280"/>
              </w:trPr>
              <w:tc>
                <w:tcPr>
                  <w:tcW w:w="2333" w:type="dxa"/>
                  <w:tcBorders>
                    <w:top w:val="single" w:sz="6" w:space="0" w:color="000000"/>
                    <w:left w:val="single" w:sz="6" w:space="0" w:color="000000"/>
                    <w:bottom w:val="single" w:sz="6" w:space="0" w:color="000000"/>
                    <w:right w:val="single" w:sz="6" w:space="0" w:color="000000"/>
                  </w:tcBorders>
                  <w:vAlign w:val="center"/>
                </w:tcPr>
                <w:p w14:paraId="481D8FF8" w14:textId="77777777" w:rsidR="00CA2B7D" w:rsidRPr="00DA7401" w:rsidRDefault="00CA2B7D" w:rsidP="00941186">
                  <w:pPr>
                    <w:rPr>
                      <w:b/>
                      <w:bCs/>
                      <w:sz w:val="18"/>
                      <w:szCs w:val="20"/>
                    </w:rPr>
                  </w:pPr>
                  <w:r w:rsidRPr="00DA7401">
                    <w:rPr>
                      <w:b/>
                      <w:bCs/>
                      <w:sz w:val="18"/>
                      <w:szCs w:val="20"/>
                    </w:rPr>
                    <w:t>İP No</w:t>
                  </w:r>
                </w:p>
              </w:tc>
              <w:tc>
                <w:tcPr>
                  <w:tcW w:w="6868" w:type="dxa"/>
                  <w:tcBorders>
                    <w:top w:val="single" w:sz="6" w:space="0" w:color="000000"/>
                    <w:left w:val="single" w:sz="6" w:space="0" w:color="000000"/>
                    <w:bottom w:val="single" w:sz="6" w:space="0" w:color="000000"/>
                    <w:right w:val="single" w:sz="6" w:space="0" w:color="000000"/>
                  </w:tcBorders>
                  <w:vAlign w:val="center"/>
                </w:tcPr>
                <w:p w14:paraId="3128FD61" w14:textId="77777777" w:rsidR="00CA2B7D" w:rsidRPr="00D369C9" w:rsidRDefault="00CA2B7D" w:rsidP="00941186">
                  <w:pPr>
                    <w:jc w:val="left"/>
                    <w:rPr>
                      <w:sz w:val="20"/>
                      <w:szCs w:val="20"/>
                    </w:rPr>
                  </w:pPr>
                  <w:r>
                    <w:rPr>
                      <w:sz w:val="20"/>
                      <w:szCs w:val="20"/>
                    </w:rPr>
                    <w:t xml:space="preserve">2</w:t>
                  </w:r>
                </w:p>
              </w:tc>
            </w:tr>
            <w:tr w:rsidR="00CA2B7D" w:rsidRPr="00D369C9" w14:paraId="35886A8E" w14:textId="77777777" w:rsidTr="00941186">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20457420" w14:textId="77777777" w:rsidR="00CA2B7D" w:rsidRPr="00DA7401" w:rsidRDefault="00CA2B7D" w:rsidP="00941186">
                  <w:pPr>
                    <w:rPr>
                      <w:b/>
                      <w:bCs/>
                      <w:sz w:val="18"/>
                      <w:szCs w:val="20"/>
                    </w:rPr>
                  </w:pPr>
                  <w:r w:rsidRPr="00DA7401">
                    <w:rPr>
                      <w:b/>
                      <w:bCs/>
                      <w:sz w:val="18"/>
                      <w:szCs w:val="20"/>
                    </w:rPr>
                    <w:t>İP Adı</w:t>
                  </w:r>
                </w:p>
              </w:tc>
              <w:tc>
                <w:tcPr>
                  <w:tcW w:w="6868" w:type="dxa"/>
                  <w:tcBorders>
                    <w:top w:val="single" w:sz="6" w:space="0" w:color="000000"/>
                    <w:left w:val="single" w:sz="6" w:space="0" w:color="000000"/>
                    <w:bottom w:val="single" w:sz="6" w:space="0" w:color="000000"/>
                    <w:right w:val="single" w:sz="6" w:space="0" w:color="000000"/>
                  </w:tcBorders>
                  <w:vAlign w:val="center"/>
                </w:tcPr>
                <w:p w14:paraId="2384B7B5" w14:textId="77777777" w:rsidR="00CA2B7D" w:rsidRPr="00D369C9" w:rsidRDefault="00CA2B7D" w:rsidP="00941186">
                  <w:pPr>
                    <w:pStyle w:val="Dizin"/>
                    <w:suppressLineNumbers w:val="0"/>
                    <w:rPr>
                      <w:rFonts w:cs="Arial"/>
                      <w:sz w:val="20"/>
                      <w:lang w:val="tr-TR"/>
                    </w:rPr>
                  </w:pPr>
                  <w:r>
                    <w:rPr>
                      <w:sz w:val="20"/>
                      <w:szCs w:val="20"/>
                    </w:rPr>
                    <w:t xml:space="preserve">Model Geliştirme ve İnce Ayarının Yapılması</w:t>
                  </w:r>
                </w:p>
              </w:tc>
            </w:tr>
            <w:tr w:rsidR="00CA2B7D" w:rsidRPr="00D369C9" w14:paraId="7C444765" w14:textId="77777777" w:rsidTr="00941186">
              <w:trPr>
                <w:cantSplit/>
                <w:trHeight w:val="278"/>
              </w:trPr>
              <w:tc>
                <w:tcPr>
                  <w:tcW w:w="2333" w:type="dxa"/>
                  <w:tcBorders>
                    <w:top w:val="single" w:sz="6" w:space="0" w:color="000000"/>
                    <w:left w:val="single" w:sz="6" w:space="0" w:color="000000"/>
                    <w:bottom w:val="single" w:sz="6" w:space="0" w:color="000000"/>
                    <w:right w:val="single" w:sz="6" w:space="0" w:color="000000"/>
                  </w:tcBorders>
                  <w:vAlign w:val="center"/>
                </w:tcPr>
                <w:p w14:paraId="4D6C8E38" w14:textId="77777777" w:rsidR="00CA2B7D" w:rsidRPr="00DA7401" w:rsidRDefault="00CA2B7D" w:rsidP="00941186">
                  <w:pPr>
                    <w:rPr>
                      <w:b/>
                      <w:bCs/>
                      <w:sz w:val="18"/>
                      <w:szCs w:val="20"/>
                    </w:rPr>
                  </w:pPr>
                  <w:r w:rsidRPr="00DA7401">
                    <w:rPr>
                      <w:b/>
                      <w:bCs/>
                      <w:sz w:val="18"/>
                      <w:szCs w:val="20"/>
                    </w:rPr>
                    <w:t>İP Tamamlanma Durumu</w:t>
                  </w:r>
                  <w:r>
                    <w:rPr>
                      <w:b/>
                      <w:bCs/>
                      <w:sz w:val="18"/>
                      <w:szCs w:val="20"/>
                    </w:rPr>
                    <w:t xml:space="preserve"> (</w:t>
                  </w:r>
                  <w:r w:rsidRPr="00DA7401">
                    <w:rPr>
                      <w:b/>
                      <w:bCs/>
                      <w:i/>
                      <w:sz w:val="18"/>
                      <w:szCs w:val="20"/>
                    </w:rPr>
                    <w:t>Yüzde Belirtilmelidir</w:t>
                  </w:r>
                  <w:r>
                    <w:rPr>
                      <w:b/>
                      <w:bCs/>
                      <w:sz w:val="18"/>
                      <w:szCs w:val="20"/>
                    </w:rPr>
                    <w:t>)</w:t>
                  </w:r>
                </w:p>
              </w:tc>
              <w:tc>
                <w:tcPr>
                  <w:tcW w:w="6868" w:type="dxa"/>
                  <w:tcBorders>
                    <w:top w:val="single" w:sz="6" w:space="0" w:color="000000"/>
                    <w:left w:val="single" w:sz="6" w:space="0" w:color="000000"/>
                    <w:bottom w:val="single" w:sz="6" w:space="0" w:color="000000"/>
                    <w:right w:val="single" w:sz="6" w:space="0" w:color="000000"/>
                  </w:tcBorders>
                  <w:vAlign w:val="center"/>
                </w:tcPr>
                <w:p w14:paraId="5898E2DE" w14:textId="77777777" w:rsidR="00CA2B7D" w:rsidRPr="00D369C9" w:rsidRDefault="00CA2B7D" w:rsidP="00941186">
                  <w:pPr>
                    <w:pStyle w:val="Dizin"/>
                    <w:suppressLineNumbers w:val="0"/>
                    <w:rPr>
                      <w:rFonts w:cs="Arial"/>
                      <w:sz w:val="20"/>
                      <w:lang w:val="tr-TR"/>
                    </w:rPr>
                  </w:pPr>
                  <w:r>
                    <w:rPr>
                      <w:sz w:val="20"/>
                      <w:szCs w:val="20"/>
                    </w:rPr>
                    <w:t xml:space="preserve">%60</w:t>
                  </w:r>
                </w:p>
              </w:tc>
            </w:tr>
          </w:tbl>
          <w:p>
            <w:pPr>
              <w:spacing w:before="0" w:after="0"/>
              <w:jc w:val="both"/>
            </w:pPr>
          </w:p>
          <w:p w14:paraId="0B003644" w14:textId="77777777" w:rsidR="00CA2B7D" w:rsidRPr="00D369C9" w:rsidRDefault="00CA2B7D" w:rsidP="00941186">
            <w:pPr>
              <w:numPr>
                <w:ilvl w:val="0"/>
                <w:numId w:val="202"/>
              </w:numPr>
              <w:rPr>
                <w:b/>
                <w:bCs/>
                <w:sz w:val="20"/>
                <w:szCs w:val="20"/>
              </w:rPr>
            </w:pPr>
            <w:r w:rsidRPr="00D369C9">
              <w:rPr>
                <w:b/>
                <w:bCs/>
                <w:sz w:val="20"/>
                <w:szCs w:val="20"/>
              </w:rPr>
              <w:t>İP Kapsamında Yapılan Çalışmalar ve Elde Edilen Bulgular</w:t>
            </w:r>
          </w:p>
          <w:p w14:paraId="222E8C12" w14:textId="77777777" w:rsidR="00CA2B7D" w:rsidRPr="0027357B" w:rsidRDefault="00CA2B7D" w:rsidP="00941186">
            <w:pPr>
              <w:rPr>
                <w:i/>
                <w:color w:val="000000"/>
                <w:sz w:val="18"/>
                <w:szCs w:val="20"/>
              </w:rPr>
            </w:pPr>
            <w:r w:rsidRPr="0027357B">
              <w:rPr>
                <w:i/>
                <w:color w:val="000000"/>
                <w:sz w:val="18"/>
                <w:szCs w:val="20"/>
              </w:rPr>
              <w:t xml:space="preserve">İP hedeflerine yönelik yapılan çalışmalar, ulaşılan hedefler ve elde edilen bulgular ilgili literatüre atıflar yapılarak detaylı olarak sunulur ve sonuçlar tartışılır. </w:t>
            </w:r>
            <w:r w:rsidRPr="0027357B">
              <w:rPr>
                <w:i/>
                <w:sz w:val="18"/>
                <w:szCs w:val="20"/>
              </w:rPr>
              <w:t xml:space="preserve">İP kapsamında elde edilen ara çıktılara ilişkin bilgiler verilir. Ana açıklamalar dışında İP kapsamında elde edilen ara çıktılar (teknik rapor, liste, diyagram, analiz/ölçüm sonucu, algoritma, yazılım, anket formu, verim, ham veri vb.) hakkında bilgi verilir ve ara çıktılar </w:t>
            </w:r>
            <w:r w:rsidRPr="0027357B">
              <w:rPr>
                <w:i/>
                <w:sz w:val="18"/>
                <w:szCs w:val="20"/>
                <w:u w:val="single"/>
              </w:rPr>
              <w:t>ekler</w:t>
            </w:r>
            <w:r w:rsidRPr="0027357B">
              <w:rPr>
                <w:i/>
                <w:sz w:val="18"/>
                <w:szCs w:val="20"/>
              </w:rPr>
              <w:t xml:space="preserve"> bölümünde sunulur.</w:t>
            </w:r>
          </w:p>
          <w:p>
            <w:pPr>
              <w:keepNext/>
              <w:spacing w:before="200" w:after="60"/>
              <w:jc w:val="left"/>
            </w:pPr>
            <w:r>
              <w:rPr>
                <w:b/>
                <w:bCs/>
                <w:sz w:val="20"/>
                <w:szCs w:val="20"/>
              </w:rPr>
              <w:t xml:space="preserve">İP2.1 Amaç ve öneriyle ilişki</w:t>
            </w:r>
          </w:p>
          <w:p>
            <w:pPr>
              <w:spacing w:before="60" w:after="60"/>
              <w:jc w:val="both"/>
            </w:pPr>
            <w:r>
              <w:rPr>
                <w:sz w:val="20"/>
                <w:szCs w:val="20"/>
              </w:rPr>
              <w:t xml:space="preserve">İP2'de, İP1'de hazırlanan talimat veri kümesiyle açık ağırlıklı bir LLM'i bağımlılık danışmanlığına özgü talimatlara uyacak şekilde ince ayarlamayı hedefledik. Modelden beklenen; terapötik diyalogda anlamlı ve bağlama uygun, Türkçeye göre iyileştirilmiş, hızlı ve güvenli cevaplar üretmesi. Dönem içinde (i) model ailesi seçildi, (ii) yerel keşif ve bulut üretim olmak üzere iki katmanlı bir eğitim altyapısı kuruldu, (iii) beş eksenli bir değerlendirme sistemi geliştirildi, (iv) ince ayarın hangi parametrelere ve hangi veri içeriğine duyarlı olduğu kontrollü deneylerle incelendi ve (v) üretim adayı Gemma 4 26B-A4B ince ayarlanıp taban modelle karşılaştırıldı.</w:t>
            </w:r>
          </w:p>
          <w:p>
            <w:pPr>
              <w:spacing w:before="60" w:after="60"/>
              <w:jc w:val="both"/>
            </w:pPr>
            <w:r>
              <w:rPr>
                <w:sz w:val="20"/>
                <w:szCs w:val="20"/>
              </w:rPr>
              <w:t xml:space="preserve">Öneri formundaki yöntemden beş noktada ayrıldık. Bu farkları ve gerekçelerini Tablo 5'te topladık.</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620"/>
              <w:gridCol w:w="1954"/>
              <w:gridCol w:w="2803"/>
              <w:gridCol w:w="2803"/>
            </w:tblGrid>
            <w:tr>
              <w:trPr>
                <w:cantSplit/>
                <w:tblHeader/>
              </w:trPr>
              <w:tc>
                <w:tcPr>
                  <w:tcW w:w="1620" w:type="dxa"/>
                  <w:shd w:val="clear" w:color="auto" w:fill="E7E6E6"/>
                  <w:tcMar>
                    <w:top w:w="30" w:type="dxa"/>
                    <w:bottom w:w="30" w:type="dxa"/>
                  </w:tcMar>
                  <w:vAlign w:val="center"/>
                </w:tcPr>
                <w:p>
                  <w:pPr>
                    <w:spacing w:before="0" w:after="0"/>
                    <w:jc w:val="left"/>
                  </w:pPr>
                  <w:r>
                    <w:rPr>
                      <w:b/>
                      <w:bCs/>
                      <w:sz w:val="17"/>
                      <w:szCs w:val="17"/>
                    </w:rPr>
                    <w:t xml:space="preserve">Konu</w:t>
                  </w:r>
                </w:p>
              </w:tc>
              <w:tc>
                <w:tcPr>
                  <w:tcW w:w="1954" w:type="dxa"/>
                  <w:shd w:val="clear" w:color="auto" w:fill="E7E6E6"/>
                  <w:tcMar>
                    <w:top w:w="30" w:type="dxa"/>
                    <w:bottom w:w="30" w:type="dxa"/>
                  </w:tcMar>
                  <w:vAlign w:val="center"/>
                </w:tcPr>
                <w:p>
                  <w:pPr>
                    <w:spacing w:before="0" w:after="0"/>
                    <w:jc w:val="left"/>
                  </w:pPr>
                  <w:r>
                    <w:rPr>
                      <w:b/>
                      <w:bCs/>
                      <w:sz w:val="17"/>
                      <w:szCs w:val="17"/>
                    </w:rPr>
                    <w:t xml:space="preserve">Öneride</w:t>
                  </w:r>
                </w:p>
              </w:tc>
              <w:tc>
                <w:tcPr>
                  <w:tcW w:w="2803" w:type="dxa"/>
                  <w:shd w:val="clear" w:color="auto" w:fill="E7E6E6"/>
                  <w:tcMar>
                    <w:top w:w="30" w:type="dxa"/>
                    <w:bottom w:w="30" w:type="dxa"/>
                  </w:tcMar>
                  <w:vAlign w:val="center"/>
                </w:tcPr>
                <w:p>
                  <w:pPr>
                    <w:spacing w:before="0" w:after="0"/>
                    <w:jc w:val="left"/>
                  </w:pPr>
                  <w:r>
                    <w:rPr>
                      <w:b/>
                      <w:bCs/>
                      <w:sz w:val="17"/>
                      <w:szCs w:val="17"/>
                    </w:rPr>
                    <w:t xml:space="preserve">Gerçekleşen</w:t>
                  </w:r>
                </w:p>
              </w:tc>
              <w:tc>
                <w:tcPr>
                  <w:tcW w:w="2803" w:type="dxa"/>
                  <w:shd w:val="clear" w:color="auto" w:fill="E7E6E6"/>
                  <w:tcMar>
                    <w:top w:w="30" w:type="dxa"/>
                    <w:bottom w:w="30" w:type="dxa"/>
                  </w:tcMar>
                  <w:vAlign w:val="center"/>
                </w:tcPr>
                <w:p>
                  <w:pPr>
                    <w:spacing w:before="0" w:after="0"/>
                    <w:jc w:val="left"/>
                  </w:pPr>
                  <w:r>
                    <w:rPr>
                      <w:b/>
                      <w:bCs/>
                      <w:sz w:val="17"/>
                      <w:szCs w:val="17"/>
                    </w:rPr>
                    <w:t xml:space="preserve">Gerekçe</w:t>
                  </w:r>
                </w:p>
              </w:tc>
            </w:tr>
            <w:tr>
              <w:trPr>
                <w:cantSplit/>
              </w:trPr>
              <w:tc>
                <w:tcPr>
                  <w:tcW w:w="1620" w:type="dxa"/>
                  <w:tcMar>
                    <w:top w:w="30" w:type="dxa"/>
                    <w:bottom w:w="30" w:type="dxa"/>
                  </w:tcMar>
                  <w:vAlign w:val="center"/>
                </w:tcPr>
                <w:p>
                  <w:pPr>
                    <w:spacing w:before="0" w:after="0"/>
                    <w:jc w:val="left"/>
                  </w:pPr>
                  <w:r>
                    <w:rPr>
                      <w:sz w:val="17"/>
                      <w:szCs w:val="17"/>
                    </w:rPr>
                    <w:t xml:space="preserve">Temel model</w:t>
                  </w:r>
                </w:p>
              </w:tc>
              <w:tc>
                <w:tcPr>
                  <w:tcW w:w="1954" w:type="dxa"/>
                  <w:tcMar>
                    <w:top w:w="30" w:type="dxa"/>
                    <w:bottom w:w="30" w:type="dxa"/>
                  </w:tcMar>
                  <w:vAlign w:val="center"/>
                </w:tcPr>
                <w:p>
                  <w:pPr>
                    <w:spacing w:before="0" w:after="0"/>
                    <w:jc w:val="left"/>
                  </w:pPr>
                  <w:r>
                    <w:rPr>
                      <w:sz w:val="17"/>
                      <w:szCs w:val="17"/>
                    </w:rPr>
                    <w:t xml:space="preserve">Gemma 2 9B, Aya Expanse 8B, Llama 3.1 8B</w:t>
                  </w:r>
                </w:p>
              </w:tc>
              <w:tc>
                <w:tcPr>
                  <w:tcW w:w="2803" w:type="dxa"/>
                  <w:tcMar>
                    <w:top w:w="30" w:type="dxa"/>
                    <w:bottom w:w="30" w:type="dxa"/>
                  </w:tcMar>
                  <w:vAlign w:val="center"/>
                </w:tcPr>
                <w:p>
                  <w:pPr>
                    <w:spacing w:before="0" w:after="0"/>
                    <w:jc w:val="left"/>
                  </w:pPr>
                  <w:r>
                    <w:rPr>
                      <w:sz w:val="17"/>
                      <w:szCs w:val="17"/>
                    </w:rPr>
                    <w:t xml:space="preserve">Gemma 4 ailesi (E4B → 12B → 26B-A4B → 31B), aileler arası genelleme için Qwen3.8-27B</w:t>
                  </w:r>
                </w:p>
              </w:tc>
              <w:tc>
                <w:tcPr>
                  <w:tcW w:w="2803" w:type="dxa"/>
                  <w:tcMar>
                    <w:top w:w="30" w:type="dxa"/>
                    <w:bottom w:w="30" w:type="dxa"/>
                  </w:tcMar>
                  <w:vAlign w:val="center"/>
                </w:tcPr>
                <w:p>
                  <w:pPr>
                    <w:spacing w:before="0" w:after="0"/>
                    <w:jc w:val="left"/>
                  </w:pPr>
                  <w:r>
                    <w:rPr>
                      <w:sz w:val="17"/>
                      <w:szCs w:val="17"/>
                    </w:rPr>
                    <w:t xml:space="preserve">Formdaki modeller 2024 neslidir ve thinking (reasoning) kanalı yoktur. Gemma 4 ailesinde aynı kontrol token'ıyla açılıp kapanan bir thinking kanalı, Apache 2.0 lisansı ve 3,8B active parameter ile çalışan bir Mixture-of-Experts (MoE) modeli var. MoE modeli yanıt süresi hedefi için belirleyici oldu.</w:t>
                  </w:r>
                </w:p>
              </w:tc>
            </w:tr>
            <w:tr>
              <w:trPr>
                <w:cantSplit/>
              </w:trPr>
              <w:tc>
                <w:tcPr>
                  <w:tcW w:w="1620" w:type="dxa"/>
                  <w:tcMar>
                    <w:top w:w="30" w:type="dxa"/>
                    <w:bottom w:w="30" w:type="dxa"/>
                  </w:tcMar>
                  <w:vAlign w:val="center"/>
                </w:tcPr>
                <w:p>
                  <w:pPr>
                    <w:spacing w:before="0" w:after="0"/>
                    <w:jc w:val="left"/>
                  </w:pPr>
                  <w:r>
                    <w:rPr>
                      <w:sz w:val="17"/>
                      <w:szCs w:val="17"/>
                    </w:rPr>
                    <w:t xml:space="preserve">Eğitim yöntemi</w:t>
                  </w:r>
                </w:p>
              </w:tc>
              <w:tc>
                <w:tcPr>
                  <w:tcW w:w="1954" w:type="dxa"/>
                  <w:tcMar>
                    <w:top w:w="30" w:type="dxa"/>
                    <w:bottom w:w="30" w:type="dxa"/>
                  </w:tcMar>
                  <w:vAlign w:val="center"/>
                </w:tcPr>
                <w:p>
                  <w:pPr>
                    <w:spacing w:before="0" w:after="0"/>
                    <w:jc w:val="left"/>
                  </w:pPr>
                  <w:r>
                    <w:rPr>
                      <w:sz w:val="17"/>
                      <w:szCs w:val="17"/>
                    </w:rPr>
                    <w:t xml:space="preserve">ORPO</w:t>
                  </w:r>
                </w:p>
              </w:tc>
              <w:tc>
                <w:tcPr>
                  <w:tcW w:w="2803" w:type="dxa"/>
                  <w:tcMar>
                    <w:top w:w="30" w:type="dxa"/>
                    <w:bottom w:w="30" w:type="dxa"/>
                  </w:tcMar>
                  <w:vAlign w:val="center"/>
                </w:tcPr>
                <w:p>
                  <w:pPr>
                    <w:spacing w:before="0" w:after="0"/>
                    <w:jc w:val="left"/>
                  </w:pPr>
                  <w:r>
                    <w:rPr>
                      <w:sz w:val="17"/>
                      <w:szCs w:val="17"/>
                    </w:rPr>
                    <w:t xml:space="preserve">Supervised fine-tuning (SFT); ORPO ertelendi</w:t>
                  </w:r>
                </w:p>
              </w:tc>
              <w:tc>
                <w:tcPr>
                  <w:tcW w:w="2803" w:type="dxa"/>
                  <w:tcMar>
                    <w:top w:w="30" w:type="dxa"/>
                    <w:bottom w:w="30" w:type="dxa"/>
                  </w:tcMar>
                  <w:vAlign w:val="center"/>
                </w:tcPr>
                <w:p>
                  <w:pPr>
                    <w:spacing w:before="0" w:after="0"/>
                    <w:jc w:val="left"/>
                  </w:pPr>
                  <w:r>
                    <w:rPr>
                      <w:sz w:val="17"/>
                      <w:szCs w:val="17"/>
                    </w:rPr>
                    <w:t xml:space="preserve">Dar bir tercih verisiyle ORPO genel yetenek kaybını artırabilir. Önce SFT ve replay ile forgetting ölçüldü; ORPO, SFT'nin çözemediği hata kalıpları için sonraya bırakıldı. Judge'ın kabul/ret kararları ve uzman düzeltmeleri hazır bir tercih çifti kaynağı.</w:t>
                  </w:r>
                </w:p>
              </w:tc>
            </w:tr>
            <w:tr>
              <w:trPr>
                <w:cantSplit/>
              </w:trPr>
              <w:tc>
                <w:tcPr>
                  <w:tcW w:w="1620" w:type="dxa"/>
                  <w:tcMar>
                    <w:top w:w="30" w:type="dxa"/>
                    <w:bottom w:w="30" w:type="dxa"/>
                  </w:tcMar>
                  <w:vAlign w:val="center"/>
                </w:tcPr>
                <w:p>
                  <w:pPr>
                    <w:spacing w:before="0" w:after="0"/>
                    <w:jc w:val="left"/>
                  </w:pPr>
                  <w:r>
                    <w:rPr>
                      <w:sz w:val="17"/>
                      <w:szCs w:val="17"/>
                    </w:rPr>
                    <w:t xml:space="preserve">Quantization</w:t>
                  </w:r>
                </w:p>
              </w:tc>
              <w:tc>
                <w:tcPr>
                  <w:tcW w:w="1954" w:type="dxa"/>
                  <w:tcMar>
                    <w:top w:w="30" w:type="dxa"/>
                    <w:bottom w:w="30" w:type="dxa"/>
                  </w:tcMar>
                  <w:vAlign w:val="center"/>
                </w:tcPr>
                <w:p>
                  <w:pPr>
                    <w:spacing w:before="0" w:after="0"/>
                    <w:jc w:val="left"/>
                  </w:pPr>
                  <w:r>
                    <w:rPr>
                      <w:sz w:val="17"/>
                      <w:szCs w:val="17"/>
                    </w:rPr>
                    <w:t xml:space="preserve">QLoRA (4 bit)</w:t>
                  </w:r>
                </w:p>
              </w:tc>
              <w:tc>
                <w:tcPr>
                  <w:tcW w:w="2803" w:type="dxa"/>
                  <w:tcMar>
                    <w:top w:w="30" w:type="dxa"/>
                    <w:bottom w:w="30" w:type="dxa"/>
                  </w:tcMar>
                  <w:vAlign w:val="center"/>
                </w:tcPr>
                <w:p>
                  <w:pPr>
                    <w:spacing w:before="0" w:after="0"/>
                    <w:jc w:val="left"/>
                  </w:pPr>
                  <w:r>
                    <w:rPr>
                      <w:sz w:val="17"/>
                      <w:szCs w:val="17"/>
                    </w:rPr>
                    <w:t xml:space="preserve">bf16 LoRA; quantization eğitimden sonra</w:t>
                  </w:r>
                </w:p>
              </w:tc>
              <w:tc>
                <w:tcPr>
                  <w:tcW w:w="2803" w:type="dxa"/>
                  <w:tcMar>
                    <w:top w:w="30" w:type="dxa"/>
                    <w:bottom w:w="30" w:type="dxa"/>
                  </w:tcMar>
                  <w:vAlign w:val="center"/>
                </w:tcPr>
                <w:p>
                  <w:pPr>
                    <w:spacing w:before="0" w:after="0"/>
                    <w:jc w:val="left"/>
                  </w:pPr>
                  <w:r>
                    <w:rPr>
                      <w:sz w:val="17"/>
                      <w:szCs w:val="17"/>
                    </w:rPr>
                    <w:t xml:space="preserve">QLoRA'da adapter quantization hatasını telafi edecek şekilde öğrenir ve dağıtımdaki şema eğitimdekinden farklıysa kalite fark edilmeden düşer. Bu yüzden merge → quantization → yeniden değerlendirme sırası izlendi.</w:t>
                  </w:r>
                </w:p>
              </w:tc>
            </w:tr>
            <w:tr>
              <w:trPr>
                <w:cantSplit/>
              </w:trPr>
              <w:tc>
                <w:tcPr>
                  <w:tcW w:w="1620" w:type="dxa"/>
                  <w:tcMar>
                    <w:top w:w="30" w:type="dxa"/>
                    <w:bottom w:w="30" w:type="dxa"/>
                  </w:tcMar>
                  <w:vAlign w:val="center"/>
                </w:tcPr>
                <w:p>
                  <w:pPr>
                    <w:spacing w:before="0" w:after="0"/>
                    <w:jc w:val="left"/>
                  </w:pPr>
                  <w:r>
                    <w:rPr>
                      <w:sz w:val="17"/>
                      <w:szCs w:val="17"/>
                    </w:rPr>
                    <w:t xml:space="preserve">Metin benzerliği ölçütü</w:t>
                  </w:r>
                </w:p>
              </w:tc>
              <w:tc>
                <w:tcPr>
                  <w:tcW w:w="1954" w:type="dxa"/>
                  <w:tcMar>
                    <w:top w:w="30" w:type="dxa"/>
                    <w:bottom w:w="30" w:type="dxa"/>
                  </w:tcMar>
                  <w:vAlign w:val="center"/>
                </w:tcPr>
                <w:p>
                  <w:pPr>
                    <w:spacing w:before="0" w:after="0"/>
                    <w:jc w:val="left"/>
                  </w:pPr>
                  <w:r>
                    <w:rPr>
                      <w:sz w:val="17"/>
                      <w:szCs w:val="17"/>
                    </w:rPr>
                    <w:t xml:space="preserve">BLEU / ROUGE &gt; %80</w:t>
                  </w:r>
                </w:p>
              </w:tc>
              <w:tc>
                <w:tcPr>
                  <w:tcW w:w="2803" w:type="dxa"/>
                  <w:tcMar>
                    <w:top w:w="30" w:type="dxa"/>
                    <w:bottom w:w="30" w:type="dxa"/>
                  </w:tcMar>
                  <w:vAlign w:val="center"/>
                </w:tcPr>
                <w:p>
                  <w:pPr>
                    <w:spacing w:before="0" w:after="0"/>
                    <w:jc w:val="left"/>
                  </w:pPr>
                  <w:r>
                    <w:rPr>
                      <w:sz w:val="17"/>
                      <w:szCs w:val="17"/>
                    </w:rPr>
                    <w:t xml:space="preserve">Birincil ölçüt uzman + LLM-judge; BLEU/ROUGE ve BERTScore ikincil</w:t>
                  </w:r>
                </w:p>
              </w:tc>
              <w:tc>
                <w:tcPr>
                  <w:tcW w:w="2803" w:type="dxa"/>
                  <w:tcMar>
                    <w:top w:w="30" w:type="dxa"/>
                    <w:bottom w:w="30" w:type="dxa"/>
                  </w:tcMar>
                  <w:vAlign w:val="center"/>
                </w:tcPr>
                <w:p>
                  <w:pPr>
                    <w:spacing w:before="0" w:after="0"/>
                    <w:jc w:val="left"/>
                  </w:pPr>
                  <w:r>
                    <w:rPr>
                      <w:sz w:val="17"/>
                      <w:szCs w:val="17"/>
                    </w:rPr>
                    <w:t xml:space="preserve">Serbest terapötik diyalogda tek bir doğru cevap olmaz ve kelime örtüşmesine dayanan ölçütler insan yargısıyla zayıf ilişkilidir (Liu vd., 2016). BLEU/ROUGE yine de referanslı bir alt kümede raporlandı (Bölüm İP2.10).</w:t>
                  </w:r>
                </w:p>
              </w:tc>
            </w:tr>
            <w:tr>
              <w:trPr>
                <w:cantSplit/>
              </w:trPr>
              <w:tc>
                <w:tcPr>
                  <w:tcW w:w="1620" w:type="dxa"/>
                  <w:tcMar>
                    <w:top w:w="30" w:type="dxa"/>
                    <w:bottom w:w="30" w:type="dxa"/>
                  </w:tcMar>
                  <w:vAlign w:val="center"/>
                </w:tcPr>
                <w:p>
                  <w:pPr>
                    <w:spacing w:before="0" w:after="0"/>
                    <w:jc w:val="left"/>
                  </w:pPr>
                  <w:r>
                    <w:rPr>
                      <w:sz w:val="17"/>
                      <w:szCs w:val="17"/>
                    </w:rPr>
                    <w:t xml:space="preserve">Hesaplama</w:t>
                  </w:r>
                </w:p>
              </w:tc>
              <w:tc>
                <w:tcPr>
                  <w:tcW w:w="1954" w:type="dxa"/>
                  <w:tcMar>
                    <w:top w:w="30" w:type="dxa"/>
                    <w:bottom w:w="30" w:type="dxa"/>
                  </w:tcMar>
                  <w:vAlign w:val="center"/>
                </w:tcPr>
                <w:p>
                  <w:pPr>
                    <w:spacing w:before="0" w:after="0"/>
                    <w:jc w:val="left"/>
                  </w:pPr>
                  <w:r>
                    <w:rPr>
                      <w:sz w:val="17"/>
                      <w:szCs w:val="17"/>
                    </w:rPr>
                    <w:t xml:space="preserve">TRUBA</w:t>
                  </w:r>
                </w:p>
              </w:tc>
              <w:tc>
                <w:tcPr>
                  <w:tcW w:w="2803" w:type="dxa"/>
                  <w:tcMar>
                    <w:top w:w="30" w:type="dxa"/>
                    <w:bottom w:w="30" w:type="dxa"/>
                  </w:tcMar>
                  <w:vAlign w:val="center"/>
                </w:tcPr>
                <w:p>
                  <w:pPr>
                    <w:spacing w:before="0" w:after="0"/>
                    <w:jc w:val="left"/>
                  </w:pPr>
                  <w:r>
                    <w:rPr>
                      <w:sz w:val="17"/>
                      <w:szCs w:val="17"/>
                    </w:rPr>
                    <w:t xml:space="preserve">Yerel Apple M5 Max (keşif) + Google Colab A100 (üretim)</w:t>
                  </w:r>
                </w:p>
              </w:tc>
              <w:tc>
                <w:tcPr>
                  <w:tcW w:w="2803" w:type="dxa"/>
                  <w:tcMar>
                    <w:top w:w="30" w:type="dxa"/>
                    <w:bottom w:w="30" w:type="dxa"/>
                  </w:tcMar>
                  <w:vAlign w:val="center"/>
                </w:tcPr>
                <w:p>
                  <w:pPr>
                    <w:spacing w:before="0" w:after="0"/>
                    <w:jc w:val="left"/>
                  </w:pPr>
                  <w:r>
                    <w:rPr>
                      <w:sz w:val="17"/>
                      <w:szCs w:val="17"/>
                    </w:rPr>
                    <w:t xml:space="preserve">Hızlı denemeler yerelde, büyük model eğitimi ve değerlendirmesi Colab'da yapıldı. İki ortam aynı yapılandırma dosyasını kullanıyor.</w:t>
                  </w:r>
                </w:p>
              </w:tc>
            </w:tr>
          </w:tbl>
          <w:p>
            <w:pPr>
              <w:spacing w:before="0" w:after="0"/>
              <w:jc w:val="both"/>
            </w:pPr>
          </w:p>
          <w:p>
            <w:pPr>
              <w:spacing w:before="0" w:after="100"/>
              <w:jc w:val="left"/>
            </w:pPr>
            <w:r>
              <w:rPr>
                <w:i/>
                <w:iCs/>
                <w:sz w:val="17"/>
                <w:szCs w:val="17"/>
              </w:rPr>
              <w:t xml:space="preserve">Tablo 5. İP2'de öneri formundan yöntem sapmaları. Kaynak: </w:t>
            </w:r>
            <w:r>
              <w:rPr>
                <w:rFonts w:ascii="Consolas" w:hAnsi="Consolas" w:cs="Consolas"/>
                <w:i/>
                <w:iCs/>
                <w:sz w:val="15"/>
                <w:szCs w:val="15"/>
              </w:rPr>
              <w:t xml:space="preserve">plan.md</w:t>
            </w:r>
            <w:r>
              <w:rPr>
                <w:i/>
                <w:iCs/>
                <w:sz w:val="17"/>
                <w:szCs w:val="17"/>
              </w:rPr>
              <w:t xml:space="preserve"> (K6, K7, K9, K29, §14) · </w:t>
            </w:r>
            <w:r>
              <w:rPr>
                <w:rFonts w:ascii="Consolas" w:hAnsi="Consolas" w:cs="Consolas"/>
                <w:i/>
                <w:iCs/>
                <w:sz w:val="15"/>
                <w:szCs w:val="15"/>
              </w:rPr>
              <w:t xml:space="preserve">docs/rapor/oneri-rapor-esleme.md</w:t>
            </w:r>
            <w:r>
              <w:rPr>
                <w:i/>
                <w:iCs/>
                <w:sz w:val="17"/>
                <w:szCs w:val="17"/>
              </w:rPr>
              <w:t xml:space="preserve">.</w:t>
            </w:r>
          </w:p>
          <w:p>
            <w:pPr>
              <w:keepNext/>
              <w:spacing w:before="200" w:after="60"/>
              <w:jc w:val="left"/>
            </w:pPr>
            <w:r>
              <w:rPr>
                <w:b/>
                <w:bCs/>
                <w:sz w:val="20"/>
                <w:szCs w:val="20"/>
              </w:rPr>
              <w:t xml:space="preserve">İP2.2 Model seçimi</w:t>
            </w:r>
          </w:p>
          <w:p>
            <w:pPr>
              <w:spacing w:before="60" w:after="60"/>
              <w:jc w:val="both"/>
            </w:pPr>
            <w:r>
              <w:rPr>
                <w:sz w:val="20"/>
                <w:szCs w:val="20"/>
              </w:rPr>
              <w:t xml:space="preserve">Modelleri bir merdiven olarak düzenledik (Tablo 6). Gemma 4 ailesinin bütün üyeleri aynı chat template'i ve aynı thinking kontrol token'ını kullandığı için küçük modelde görülen bir veri ya da eğitim etkisini büyük modelde sınamak mümkün. Hızlı deneyler E4B ile, transfer kontrolü 12B ile yapılıyor. 26B-A4B üretim adayı, 31B ise kalite tavanı için referans. Farklı aileden Qwen3.8-27B'yi yalnızca sonda bir kez, "veri kümesi Gemma'ya mı uydu, yoksa davranışı mı öğretiyor?" sorusu için genelleme kontrolü olarak kullanmayı planladık.</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505"/>
              <w:gridCol w:w="2931"/>
              <w:gridCol w:w="1160"/>
              <w:gridCol w:w="930"/>
              <w:gridCol w:w="2654"/>
            </w:tblGrid>
            <w:tr>
              <w:trPr>
                <w:cantSplit/>
                <w:tblHeader/>
              </w:trPr>
              <w:tc>
                <w:tcPr>
                  <w:tcW w:w="1505" w:type="dxa"/>
                  <w:shd w:val="clear" w:color="auto" w:fill="E7E6E6"/>
                  <w:tcMar>
                    <w:top w:w="30" w:type="dxa"/>
                    <w:bottom w:w="30" w:type="dxa"/>
                  </w:tcMar>
                  <w:vAlign w:val="center"/>
                </w:tcPr>
                <w:p>
                  <w:pPr>
                    <w:spacing w:before="0" w:after="0"/>
                    <w:jc w:val="left"/>
                  </w:pPr>
                  <w:r>
                    <w:rPr>
                      <w:b/>
                      <w:bCs/>
                      <w:sz w:val="17"/>
                      <w:szCs w:val="17"/>
                    </w:rPr>
                    <w:t xml:space="preserve">Model</w:t>
                  </w:r>
                </w:p>
              </w:tc>
              <w:tc>
                <w:tcPr>
                  <w:tcW w:w="2931" w:type="dxa"/>
                  <w:shd w:val="clear" w:color="auto" w:fill="E7E6E6"/>
                  <w:tcMar>
                    <w:top w:w="30" w:type="dxa"/>
                    <w:bottom w:w="30" w:type="dxa"/>
                  </w:tcMar>
                  <w:vAlign w:val="center"/>
                </w:tcPr>
                <w:p>
                  <w:pPr>
                    <w:spacing w:before="0" w:after="0"/>
                    <w:jc w:val="left"/>
                  </w:pPr>
                  <w:r>
                    <w:rPr>
                      <w:b/>
                      <w:bCs/>
                      <w:sz w:val="17"/>
                      <w:szCs w:val="17"/>
                    </w:rPr>
                    <w:t xml:space="preserve">Parametre (total / active)</w:t>
                  </w:r>
                </w:p>
              </w:tc>
              <w:tc>
                <w:tcPr>
                  <w:tcW w:w="1160" w:type="dxa"/>
                  <w:shd w:val="clear" w:color="auto" w:fill="E7E6E6"/>
                  <w:tcMar>
                    <w:top w:w="30" w:type="dxa"/>
                    <w:bottom w:w="30" w:type="dxa"/>
                  </w:tcMar>
                  <w:vAlign w:val="center"/>
                </w:tcPr>
                <w:p>
                  <w:pPr>
                    <w:spacing w:before="0" w:after="0"/>
                    <w:jc w:val="left"/>
                  </w:pPr>
                  <w:r>
                    <w:rPr>
                      <w:b/>
                      <w:bCs/>
                      <w:sz w:val="17"/>
                      <w:szCs w:val="17"/>
                    </w:rPr>
                    <w:t xml:space="preserve">MMLU-Pro</w:t>
                  </w:r>
                </w:p>
              </w:tc>
              <w:tc>
                <w:tcPr>
                  <w:tcW w:w="930" w:type="dxa"/>
                  <w:shd w:val="clear" w:color="auto" w:fill="E7E6E6"/>
                  <w:tcMar>
                    <w:top w:w="30" w:type="dxa"/>
                    <w:bottom w:w="30" w:type="dxa"/>
                  </w:tcMar>
                  <w:vAlign w:val="center"/>
                </w:tcPr>
                <w:p>
                  <w:pPr>
                    <w:spacing w:before="0" w:after="0"/>
                    <w:jc w:val="left"/>
                  </w:pPr>
                  <w:r>
                    <w:rPr>
                      <w:b/>
                      <w:bCs/>
                      <w:sz w:val="17"/>
                      <w:szCs w:val="17"/>
                    </w:rPr>
                    <w:t xml:space="preserve">GPQA-D</w:t>
                  </w:r>
                </w:p>
              </w:tc>
              <w:tc>
                <w:tcPr>
                  <w:tcW w:w="2654" w:type="dxa"/>
                  <w:shd w:val="clear" w:color="auto" w:fill="E7E6E6"/>
                  <w:tcMar>
                    <w:top w:w="30" w:type="dxa"/>
                    <w:bottom w:w="30" w:type="dxa"/>
                  </w:tcMar>
                  <w:vAlign w:val="center"/>
                </w:tcPr>
                <w:p>
                  <w:pPr>
                    <w:spacing w:before="0" w:after="0"/>
                    <w:jc w:val="left"/>
                  </w:pPr>
                  <w:r>
                    <w:rPr>
                      <w:b/>
                      <w:bCs/>
                      <w:sz w:val="17"/>
                      <w:szCs w:val="17"/>
                    </w:rPr>
                    <w:t xml:space="preserve">Merdivendeki rolü</w:t>
                  </w:r>
                </w:p>
              </w:tc>
            </w:tr>
            <w:tr>
              <w:trPr>
                <w:cantSplit/>
              </w:trPr>
              <w:tc>
                <w:tcPr>
                  <w:tcW w:w="1505" w:type="dxa"/>
                  <w:tcMar>
                    <w:top w:w="30" w:type="dxa"/>
                    <w:bottom w:w="30" w:type="dxa"/>
                  </w:tcMar>
                  <w:vAlign w:val="center"/>
                </w:tcPr>
                <w:p>
                  <w:pPr>
                    <w:spacing w:before="0" w:after="0"/>
                    <w:jc w:val="left"/>
                  </w:pPr>
                  <w:r>
                    <w:rPr>
                      <w:sz w:val="17"/>
                      <w:szCs w:val="17"/>
                    </w:rPr>
                    <w:t xml:space="preserve">Gemma 4 E4B</w:t>
                  </w:r>
                </w:p>
              </w:tc>
              <w:tc>
                <w:tcPr>
                  <w:tcW w:w="2931" w:type="dxa"/>
                  <w:tcMar>
                    <w:top w:w="30" w:type="dxa"/>
                    <w:bottom w:w="30" w:type="dxa"/>
                  </w:tcMar>
                  <w:vAlign w:val="center"/>
                </w:tcPr>
                <w:p>
                  <w:pPr>
                    <w:spacing w:before="0" w:after="0"/>
                    <w:jc w:val="left"/>
                  </w:pPr>
                  <w:r>
                    <w:rPr>
                      <w:sz w:val="17"/>
                      <w:szCs w:val="17"/>
                    </w:rPr>
                    <w:t xml:space="preserve">8B / 2,3B</w:t>
                  </w:r>
                </w:p>
              </w:tc>
              <w:tc>
                <w:tcPr>
                  <w:tcW w:w="1160" w:type="dxa"/>
                  <w:tcMar>
                    <w:top w:w="30" w:type="dxa"/>
                    <w:bottom w:w="30" w:type="dxa"/>
                  </w:tcMar>
                  <w:vAlign w:val="center"/>
                </w:tcPr>
                <w:p>
                  <w:pPr>
                    <w:spacing w:before="0" w:after="0"/>
                    <w:jc w:val="right"/>
                  </w:pPr>
                  <w:r>
                    <w:rPr>
                      <w:sz w:val="17"/>
                      <w:szCs w:val="17"/>
                    </w:rPr>
                    <w:t xml:space="preserve">69,4</w:t>
                  </w:r>
                </w:p>
              </w:tc>
              <w:tc>
                <w:tcPr>
                  <w:tcW w:w="930" w:type="dxa"/>
                  <w:tcMar>
                    <w:top w:w="30" w:type="dxa"/>
                    <w:bottom w:w="30" w:type="dxa"/>
                  </w:tcMar>
                  <w:vAlign w:val="center"/>
                </w:tcPr>
                <w:p>
                  <w:pPr>
                    <w:spacing w:before="0" w:after="0"/>
                    <w:jc w:val="right"/>
                  </w:pPr>
                  <w:r>
                    <w:rPr>
                      <w:sz w:val="17"/>
                      <w:szCs w:val="17"/>
                    </w:rPr>
                    <w:t xml:space="preserve">58,6</w:t>
                  </w:r>
                </w:p>
              </w:tc>
              <w:tc>
                <w:tcPr>
                  <w:tcW w:w="2654" w:type="dxa"/>
                  <w:tcMar>
                    <w:top w:w="30" w:type="dxa"/>
                    <w:bottom w:w="30" w:type="dxa"/>
                  </w:tcMar>
                  <w:vAlign w:val="center"/>
                </w:tcPr>
                <w:p>
                  <w:pPr>
                    <w:spacing w:before="0" w:after="0"/>
                    <w:jc w:val="left"/>
                  </w:pPr>
                  <w:r>
                    <w:rPr>
                      <w:sz w:val="17"/>
                      <w:szCs w:val="17"/>
                    </w:rPr>
                    <w:t xml:space="preserve">Hızlı deney döngüsü</w:t>
                  </w:r>
                </w:p>
              </w:tc>
            </w:tr>
            <w:tr>
              <w:trPr>
                <w:cantSplit/>
              </w:trPr>
              <w:tc>
                <w:tcPr>
                  <w:tcW w:w="1505" w:type="dxa"/>
                  <w:tcMar>
                    <w:top w:w="30" w:type="dxa"/>
                    <w:bottom w:w="30" w:type="dxa"/>
                  </w:tcMar>
                  <w:vAlign w:val="center"/>
                </w:tcPr>
                <w:p>
                  <w:pPr>
                    <w:spacing w:before="0" w:after="0"/>
                    <w:jc w:val="left"/>
                  </w:pPr>
                  <w:r>
                    <w:rPr>
                      <w:sz w:val="17"/>
                      <w:szCs w:val="17"/>
                    </w:rPr>
                    <w:t xml:space="preserve">Gemma 4 12B</w:t>
                  </w:r>
                </w:p>
              </w:tc>
              <w:tc>
                <w:tcPr>
                  <w:tcW w:w="2931" w:type="dxa"/>
                  <w:tcMar>
                    <w:top w:w="30" w:type="dxa"/>
                    <w:bottom w:w="30" w:type="dxa"/>
                  </w:tcMar>
                  <w:vAlign w:val="center"/>
                </w:tcPr>
                <w:p>
                  <w:pPr>
                    <w:spacing w:before="0" w:after="0"/>
                    <w:jc w:val="left"/>
                  </w:pPr>
                  <w:r>
                    <w:rPr>
                      <w:sz w:val="17"/>
                      <w:szCs w:val="17"/>
                    </w:rPr>
                    <w:t xml:space="preserve">11,95B (dense)</w:t>
                  </w:r>
                </w:p>
              </w:tc>
              <w:tc>
                <w:tcPr>
                  <w:tcW w:w="1160" w:type="dxa"/>
                  <w:tcMar>
                    <w:top w:w="30" w:type="dxa"/>
                    <w:bottom w:w="30" w:type="dxa"/>
                  </w:tcMar>
                  <w:vAlign w:val="center"/>
                </w:tcPr>
                <w:p>
                  <w:pPr>
                    <w:spacing w:before="0" w:after="0"/>
                    <w:jc w:val="right"/>
                  </w:pPr>
                  <w:r>
                    <w:rPr>
                      <w:sz w:val="17"/>
                      <w:szCs w:val="17"/>
                    </w:rPr>
                    <w:t xml:space="preserve">77,2</w:t>
                  </w:r>
                </w:p>
              </w:tc>
              <w:tc>
                <w:tcPr>
                  <w:tcW w:w="930" w:type="dxa"/>
                  <w:tcMar>
                    <w:top w:w="30" w:type="dxa"/>
                    <w:bottom w:w="30" w:type="dxa"/>
                  </w:tcMar>
                  <w:vAlign w:val="center"/>
                </w:tcPr>
                <w:p>
                  <w:pPr>
                    <w:spacing w:before="0" w:after="0"/>
                    <w:jc w:val="right"/>
                  </w:pPr>
                  <w:r>
                    <w:rPr>
                      <w:sz w:val="17"/>
                      <w:szCs w:val="17"/>
                    </w:rPr>
                    <w:t xml:space="preserve">78,8</w:t>
                  </w:r>
                </w:p>
              </w:tc>
              <w:tc>
                <w:tcPr>
                  <w:tcW w:w="2654" w:type="dxa"/>
                  <w:tcMar>
                    <w:top w:w="30" w:type="dxa"/>
                    <w:bottom w:w="30" w:type="dxa"/>
                  </w:tcMar>
                  <w:vAlign w:val="center"/>
                </w:tcPr>
                <w:p>
                  <w:pPr>
                    <w:spacing w:before="0" w:after="0"/>
                    <w:jc w:val="left"/>
                  </w:pPr>
                  <w:r>
                    <w:rPr>
                      <w:sz w:val="17"/>
                      <w:szCs w:val="17"/>
                    </w:rPr>
                    <w:t xml:space="preserve">Transfer kontrolü</w:t>
                  </w:r>
                </w:p>
              </w:tc>
            </w:tr>
            <w:tr>
              <w:trPr>
                <w:cantSplit/>
              </w:trPr>
              <w:tc>
                <w:tcPr>
                  <w:tcW w:w="1505" w:type="dxa"/>
                  <w:tcMar>
                    <w:top w:w="30" w:type="dxa"/>
                    <w:bottom w:w="30" w:type="dxa"/>
                  </w:tcMar>
                  <w:vAlign w:val="center"/>
                </w:tcPr>
                <w:p>
                  <w:pPr>
                    <w:spacing w:before="0" w:after="0"/>
                    <w:jc w:val="left"/>
                  </w:pPr>
                  <w:r>
                    <w:rPr>
                      <w:sz w:val="17"/>
                      <w:szCs w:val="17"/>
                    </w:rPr>
                    <w:t xml:space="preserve">Gemma 4 26B-A4B</w:t>
                  </w:r>
                </w:p>
              </w:tc>
              <w:tc>
                <w:tcPr>
                  <w:tcW w:w="2931" w:type="dxa"/>
                  <w:tcMar>
                    <w:top w:w="30" w:type="dxa"/>
                    <w:bottom w:w="30" w:type="dxa"/>
                  </w:tcMar>
                  <w:vAlign w:val="center"/>
                </w:tcPr>
                <w:p>
                  <w:pPr>
                    <w:spacing w:before="0" w:after="0"/>
                    <w:jc w:val="left"/>
                  </w:pPr>
                  <w:r>
                    <w:rPr>
                      <w:sz w:val="17"/>
                      <w:szCs w:val="17"/>
                    </w:rPr>
                    <w:t xml:space="preserve">25,2B / 3,8B (MoE, 128 uzmandan 8'i)</w:t>
                  </w:r>
                </w:p>
              </w:tc>
              <w:tc>
                <w:tcPr>
                  <w:tcW w:w="1160" w:type="dxa"/>
                  <w:tcMar>
                    <w:top w:w="30" w:type="dxa"/>
                    <w:bottom w:w="30" w:type="dxa"/>
                  </w:tcMar>
                  <w:vAlign w:val="center"/>
                </w:tcPr>
                <w:p>
                  <w:pPr>
                    <w:spacing w:before="0" w:after="0"/>
                    <w:jc w:val="right"/>
                  </w:pPr>
                  <w:r>
                    <w:rPr>
                      <w:sz w:val="17"/>
                      <w:szCs w:val="17"/>
                    </w:rPr>
                    <w:t xml:space="preserve">82,6</w:t>
                  </w:r>
                </w:p>
              </w:tc>
              <w:tc>
                <w:tcPr>
                  <w:tcW w:w="930" w:type="dxa"/>
                  <w:tcMar>
                    <w:top w:w="30" w:type="dxa"/>
                    <w:bottom w:w="30" w:type="dxa"/>
                  </w:tcMar>
                  <w:vAlign w:val="center"/>
                </w:tcPr>
                <w:p>
                  <w:pPr>
                    <w:spacing w:before="0" w:after="0"/>
                    <w:jc w:val="right"/>
                  </w:pPr>
                  <w:r>
                    <w:rPr>
                      <w:sz w:val="17"/>
                      <w:szCs w:val="17"/>
                    </w:rPr>
                    <w:t xml:space="preserve">82,3</w:t>
                  </w:r>
                </w:p>
              </w:tc>
              <w:tc>
                <w:tcPr>
                  <w:tcW w:w="2654" w:type="dxa"/>
                  <w:tcMar>
                    <w:top w:w="30" w:type="dxa"/>
                    <w:bottom w:w="30" w:type="dxa"/>
                  </w:tcMar>
                  <w:vAlign w:val="center"/>
                </w:tcPr>
                <w:p>
                  <w:pPr>
                    <w:spacing w:before="0" w:after="0"/>
                    <w:jc w:val="left"/>
                  </w:pPr>
                  <w:r>
                    <w:rPr>
                      <w:sz w:val="17"/>
                      <w:szCs w:val="17"/>
                    </w:rPr>
                    <w:t xml:space="preserve">Üretim adayı</w:t>
                  </w:r>
                </w:p>
              </w:tc>
            </w:tr>
            <w:tr>
              <w:trPr>
                <w:cantSplit/>
              </w:trPr>
              <w:tc>
                <w:tcPr>
                  <w:tcW w:w="1505" w:type="dxa"/>
                  <w:tcMar>
                    <w:top w:w="30" w:type="dxa"/>
                    <w:bottom w:w="30" w:type="dxa"/>
                  </w:tcMar>
                  <w:vAlign w:val="center"/>
                </w:tcPr>
                <w:p>
                  <w:pPr>
                    <w:spacing w:before="0" w:after="0"/>
                    <w:jc w:val="left"/>
                  </w:pPr>
                  <w:r>
                    <w:rPr>
                      <w:sz w:val="17"/>
                      <w:szCs w:val="17"/>
                    </w:rPr>
                    <w:t xml:space="preserve">Gemma 4 31B</w:t>
                  </w:r>
                </w:p>
              </w:tc>
              <w:tc>
                <w:tcPr>
                  <w:tcW w:w="2931" w:type="dxa"/>
                  <w:tcMar>
                    <w:top w:w="30" w:type="dxa"/>
                    <w:bottom w:w="30" w:type="dxa"/>
                  </w:tcMar>
                  <w:vAlign w:val="center"/>
                </w:tcPr>
                <w:p>
                  <w:pPr>
                    <w:spacing w:before="0" w:after="0"/>
                    <w:jc w:val="left"/>
                  </w:pPr>
                  <w:r>
                    <w:rPr>
                      <w:sz w:val="17"/>
                      <w:szCs w:val="17"/>
                    </w:rPr>
                    <w:t xml:space="preserve">30,7B (dense)</w:t>
                  </w:r>
                </w:p>
              </w:tc>
              <w:tc>
                <w:tcPr>
                  <w:tcW w:w="1160" w:type="dxa"/>
                  <w:tcMar>
                    <w:top w:w="30" w:type="dxa"/>
                    <w:bottom w:w="30" w:type="dxa"/>
                  </w:tcMar>
                  <w:vAlign w:val="center"/>
                </w:tcPr>
                <w:p>
                  <w:pPr>
                    <w:spacing w:before="0" w:after="0"/>
                    <w:jc w:val="right"/>
                  </w:pPr>
                  <w:r>
                    <w:rPr>
                      <w:sz w:val="17"/>
                      <w:szCs w:val="17"/>
                    </w:rPr>
                    <w:t xml:space="preserve">85,2</w:t>
                  </w:r>
                </w:p>
              </w:tc>
              <w:tc>
                <w:tcPr>
                  <w:tcW w:w="930" w:type="dxa"/>
                  <w:tcMar>
                    <w:top w:w="30" w:type="dxa"/>
                    <w:bottom w:w="30" w:type="dxa"/>
                  </w:tcMar>
                  <w:vAlign w:val="center"/>
                </w:tcPr>
                <w:p>
                  <w:pPr>
                    <w:spacing w:before="0" w:after="0"/>
                    <w:jc w:val="right"/>
                  </w:pPr>
                  <w:r>
                    <w:rPr>
                      <w:sz w:val="17"/>
                      <w:szCs w:val="17"/>
                    </w:rPr>
                    <w:t xml:space="preserve">84,3</w:t>
                  </w:r>
                </w:p>
              </w:tc>
              <w:tc>
                <w:tcPr>
                  <w:tcW w:w="2654" w:type="dxa"/>
                  <w:tcMar>
                    <w:top w:w="30" w:type="dxa"/>
                    <w:bottom w:w="30" w:type="dxa"/>
                  </w:tcMar>
                  <w:vAlign w:val="center"/>
                </w:tcPr>
                <w:p>
                  <w:pPr>
                    <w:spacing w:before="0" w:after="0"/>
                    <w:jc w:val="left"/>
                  </w:pPr>
                  <w:r>
                    <w:rPr>
                      <w:sz w:val="17"/>
                      <w:szCs w:val="17"/>
                    </w:rPr>
                    <w:t xml:space="preserve">Kalite tavanı</w:t>
                  </w:r>
                </w:p>
              </w:tc>
            </w:tr>
            <w:tr>
              <w:trPr>
                <w:cantSplit/>
              </w:trPr>
              <w:tc>
                <w:tcPr>
                  <w:tcW w:w="1505" w:type="dxa"/>
                  <w:tcMar>
                    <w:top w:w="30" w:type="dxa"/>
                    <w:bottom w:w="30" w:type="dxa"/>
                  </w:tcMar>
                  <w:vAlign w:val="center"/>
                </w:tcPr>
                <w:p>
                  <w:pPr>
                    <w:spacing w:before="0" w:after="0"/>
                    <w:jc w:val="left"/>
                  </w:pPr>
                  <w:r>
                    <w:rPr>
                      <w:sz w:val="17"/>
                      <w:szCs w:val="17"/>
                    </w:rPr>
                    <w:t xml:space="preserve">Qwen3.8-27B</w:t>
                  </w:r>
                </w:p>
              </w:tc>
              <w:tc>
                <w:tcPr>
                  <w:tcW w:w="2931" w:type="dxa"/>
                  <w:tcMar>
                    <w:top w:w="30" w:type="dxa"/>
                    <w:bottom w:w="30" w:type="dxa"/>
                  </w:tcMar>
                  <w:vAlign w:val="center"/>
                </w:tcPr>
                <w:p>
                  <w:pPr>
                    <w:spacing w:before="0" w:after="0"/>
                    <w:jc w:val="left"/>
                  </w:pPr>
                  <w:r>
                    <w:rPr>
                      <w:sz w:val="17"/>
                      <w:szCs w:val="17"/>
                    </w:rPr>
                    <w:t xml:space="preserve">27B (dense)</w:t>
                  </w:r>
                </w:p>
              </w:tc>
              <w:tc>
                <w:tcPr>
                  <w:tcW w:w="1160" w:type="dxa"/>
                  <w:tcMar>
                    <w:top w:w="30" w:type="dxa"/>
                    <w:bottom w:w="30" w:type="dxa"/>
                  </w:tcMar>
                  <w:vAlign w:val="center"/>
                </w:tcPr>
                <w:p>
                  <w:pPr>
                    <w:spacing w:before="0" w:after="0"/>
                    <w:jc w:val="right"/>
                  </w:pPr>
                  <w:r>
                    <w:rPr>
                      <w:sz w:val="17"/>
                      <w:szCs w:val="17"/>
                    </w:rPr>
                    <w:t xml:space="preserve">—</w:t>
                  </w:r>
                </w:p>
              </w:tc>
              <w:tc>
                <w:tcPr>
                  <w:tcW w:w="930" w:type="dxa"/>
                  <w:tcMar>
                    <w:top w:w="30" w:type="dxa"/>
                    <w:bottom w:w="30" w:type="dxa"/>
                  </w:tcMar>
                  <w:vAlign w:val="center"/>
                </w:tcPr>
                <w:p>
                  <w:pPr>
                    <w:spacing w:before="0" w:after="0"/>
                    <w:jc w:val="right"/>
                  </w:pPr>
                  <w:r>
                    <w:rPr>
                      <w:sz w:val="17"/>
                      <w:szCs w:val="17"/>
                    </w:rPr>
                    <w:t xml:space="preserve">89,2</w:t>
                  </w:r>
                </w:p>
              </w:tc>
              <w:tc>
                <w:tcPr>
                  <w:tcW w:w="2654" w:type="dxa"/>
                  <w:tcMar>
                    <w:top w:w="30" w:type="dxa"/>
                    <w:bottom w:w="30" w:type="dxa"/>
                  </w:tcMar>
                  <w:vAlign w:val="center"/>
                </w:tcPr>
                <w:p>
                  <w:pPr>
                    <w:spacing w:before="0" w:after="0"/>
                    <w:jc w:val="left"/>
                  </w:pPr>
                  <w:r>
                    <w:rPr>
                      <w:sz w:val="17"/>
                      <w:szCs w:val="17"/>
                    </w:rPr>
                    <w:t xml:space="preserve">Aileler arası genelleme kontrolü</w:t>
                  </w:r>
                </w:p>
              </w:tc>
            </w:tr>
          </w:tbl>
          <w:p>
            <w:pPr>
              <w:spacing w:before="0" w:after="0"/>
              <w:jc w:val="both"/>
            </w:pPr>
          </w:p>
          <w:p>
            <w:pPr>
              <w:spacing w:before="0" w:after="100"/>
              <w:jc w:val="left"/>
            </w:pPr>
            <w:r>
              <w:rPr>
                <w:i/>
                <w:iCs/>
                <w:sz w:val="17"/>
                <w:szCs w:val="17"/>
              </w:rPr>
              <w:t xml:space="preserve">Tablo 6. Model merdiveni. Benchmark puanları üretici beyanıdır (Google DeepMind, 2026; Qwen Team, 2026). Kaynak: </w:t>
            </w:r>
            <w:r>
              <w:rPr>
                <w:rFonts w:ascii="Consolas" w:hAnsi="Consolas" w:cs="Consolas"/>
                <w:i/>
                <w:iCs/>
                <w:sz w:val="15"/>
                <w:szCs w:val="15"/>
              </w:rPr>
              <w:t xml:space="preserve">plan.md:670-681</w:t>
            </w:r>
            <w:r>
              <w:rPr>
                <w:i/>
                <w:iCs/>
                <w:sz w:val="17"/>
                <w:szCs w:val="17"/>
              </w:rPr>
              <w:t xml:space="preserve"> · </w:t>
            </w:r>
            <w:r>
              <w:rPr>
                <w:rFonts w:ascii="Consolas" w:hAnsi="Consolas" w:cs="Consolas"/>
                <w:i/>
                <w:iCs/>
                <w:sz w:val="15"/>
                <w:szCs w:val="15"/>
              </w:rPr>
              <w:t xml:space="preserve">docs/hf/model-karti-26b.md</w:t>
            </w:r>
            <w:r>
              <w:rPr>
                <w:i/>
                <w:iCs/>
                <w:sz w:val="17"/>
                <w:szCs w:val="17"/>
              </w:rPr>
              <w:t xml:space="preserve">.</w:t>
            </w:r>
          </w:p>
          <w:p>
            <w:pPr>
              <w:spacing w:before="60" w:after="60"/>
              <w:jc w:val="both"/>
            </w:pPr>
            <w:r>
              <w:rPr>
                <w:sz w:val="20"/>
                <w:szCs w:val="20"/>
              </w:rPr>
              <w:t xml:space="preserve">Bu dönem merdivenin E4B ve 26B-A4B basamakları ince ayarlanıp değerlendirildi. 12B transfer kontrolü ile 31B ve Qwen3.8-27B ince ayarı sonraki döneme kaldı; 31B ve Qwen3.8-27B bu dönem judge olarak kullanıldı.</w:t>
            </w:r>
          </w:p>
          <w:p>
            <w:pPr>
              <w:keepNext/>
              <w:spacing w:before="200" w:after="60"/>
              <w:jc w:val="left"/>
            </w:pPr>
            <w:r>
              <w:rPr>
                <w:b/>
                <w:bCs/>
                <w:sz w:val="20"/>
                <w:szCs w:val="20"/>
              </w:rPr>
              <w:t xml:space="preserve">İP2.3 Eğitim altyapısı ve deney disiplini</w:t>
            </w:r>
          </w:p>
          <w:p>
            <w:pPr>
              <w:spacing w:before="60" w:after="60"/>
              <w:jc w:val="both"/>
            </w:pPr>
            <w:r>
              <w:rPr>
                <w:sz w:val="20"/>
                <w:szCs w:val="20"/>
              </w:rPr>
              <w:t xml:space="preserve">Eğitim altyapısı iki katmanlı. Keşif katmanında Apple M5 Max (128 GB birleşik bellek) üzerinde MLX ile bf16 LoRA eğitimi yapılıyor ve hipotezler küçük modelde (E4B) hızla sınanıyor. Üretim katmanında aynı tarif Google Colab A100 üzerinde Unsloth ve TRL ile uygulanıyor. İki çalıştırıcı da aynı YAML yapılandırma dosyasını okuyor. MLX ile PEFT arasındaki parametre mapping'ini yazılı olarak çıkardık; bulunan tek fark (optimizer'ın bias correction'ı) iki kolda eşitlendi. Keşif deneylerindeki tarif şöyle: üst 8 katmanın attention projection'larına (</w:t>
            </w:r>
            <w:r>
              <w:rPr>
                <w:rFonts w:ascii="Consolas" w:hAnsi="Consolas" w:cs="Consolas"/>
                <w:sz w:val="18"/>
                <w:szCs w:val="18"/>
              </w:rPr>
              <w:t xml:space="preserve">q_proj</w:t>
            </w:r>
            <w:r>
              <w:rPr>
                <w:sz w:val="20"/>
                <w:szCs w:val="20"/>
              </w:rPr>
              <w:t xml:space="preserve">, </w:t>
            </w:r>
            <w:r>
              <w:rPr>
                <w:rFonts w:ascii="Consolas" w:hAnsi="Consolas" w:cs="Consolas"/>
                <w:sz w:val="18"/>
                <w:szCs w:val="18"/>
              </w:rPr>
              <w:t xml:space="preserve">o_proj</w:t>
            </w:r>
            <w:r>
              <w:rPr>
                <w:sz w:val="20"/>
                <w:szCs w:val="20"/>
              </w:rPr>
              <w:t xml:space="preserve">) LoRA (Hu vd., 2022), rank 8, scale 20 (PEFT karşılığı α = 160), AdamW, learning rate 1·10⁻⁵, 3 epoch, en fazla 2.048 token. Loss yalnızca son danışman turundan hesaplanıyor ve thinking de loss'a dahil.</w:t>
            </w:r>
          </w:p>
          <w:p>
            <w:pPr>
              <w:spacing w:before="60" w:after="60"/>
              <w:jc w:val="both"/>
            </w:pPr>
            <w:r>
              <w:rPr>
                <w:sz w:val="20"/>
                <w:szCs w:val="20"/>
              </w:rPr>
              <w:t xml:space="preserve">Deneylerde üç kurala uyduk. Karşılaştırmalı her deneyin hipotezi, birincil ve bekçi ölçüleri ve karar kuralı koşudan önce yazılıp ilgili dosyaların SHA-256 özetiyle mühürlendi (pre-registration). </w:t>
            </w:r>
            <w:r>
              <w:rPr>
                <w:rFonts w:ascii="Consolas" w:hAnsi="Consolas" w:cs="Consolas"/>
                <w:sz w:val="18"/>
                <w:szCs w:val="18"/>
              </w:rPr>
              <w:t xml:space="preserve">v0.1.1</w:t>
            </w:r>
            <w:r>
              <w:rPr>
                <w:sz w:val="20"/>
                <w:szCs w:val="20"/>
              </w:rPr>
              <w:t xml:space="preserve"> karşılaştırması için bir pre-registration ve üç eki, 26B karşılaştırması için ayrı bir pre-registration hazırlandı. Her eğitim ve değerlendirme koşusunun çıktısı zaman damgalı bir dizine yazılıyor ve üzerine yazılmıyor; raporladığımız her sayı, girdi dosyasının özetini çıktısına yazan bir analiz betiğinden geliyor. Tek seed'li sonuçları "keşif" diye işaretledik; karar gerektiren karşılaştırmaları 3–8 seed ile tekrarlayıp farkları standart hataya göre okuduk.</w:t>
            </w:r>
          </w:p>
          <w:p>
            <w:pPr>
              <w:keepNext/>
              <w:spacing w:before="200" w:after="60"/>
              <w:jc w:val="left"/>
            </w:pPr>
            <w:r>
              <w:rPr>
                <w:b/>
                <w:bCs/>
                <w:sz w:val="20"/>
                <w:szCs w:val="20"/>
              </w:rPr>
              <w:t xml:space="preserve">İP2.4 Türkçe için optimizasyon: thinking kanalı</w:t>
            </w:r>
          </w:p>
          <w:p>
            <w:pPr>
              <w:spacing w:before="60" w:after="60"/>
              <w:jc w:val="both"/>
            </w:pPr>
            <w:r>
              <w:rPr>
                <w:sz w:val="20"/>
                <w:szCs w:val="20"/>
              </w:rPr>
              <w:t xml:space="preserve">Gemma 4 modelleri cevaptan önce reasoning (thinking) üretebiliyor. Bu kanal danışmanın ne yapacağını planlaması için yararlı, ama eğitilmemiş modelde iki sorun gördük. Birincisi, Türkçe bir danışmanlık konuşmasında bile thinking İngilizce (E4B'de 8 örneğin 8'inde). System prompt'a "Türkçe düşün" talimatı eklemek bunu değiştirmedi (0/12). İkincisi, thinking cevaba göre çok uzun: ortanca thinking 350 sözcük, cevap 21 sözcük. Üretilen token'ların %95'i kullanıcıya hiç ulaşmıyor ve cevap başına süre 14,5 saniye.</w:t>
            </w:r>
          </w:p>
          <w:p>
            <w:pPr>
              <w:spacing w:before="60" w:after="60"/>
              <w:jc w:val="both"/>
            </w:pPr>
            <w:r>
              <w:rPr>
                <w:sz w:val="20"/>
                <w:szCs w:val="20"/>
              </w:rPr>
              <w:t xml:space="preserve">Thinking'in dilini ve uzunluğunu bu yüzden prompt yerine eğitimle değiştirmeye karar verdik. Veri kümesindeki her örneğe Türkçe ve cevapla orantılı bir thinking yazıldı (Bölüm İP1.6). Deneyler Türkçe thinking'in öğrenilebildiğini ve bunun LoRA'nın derinliğine bağlı olduğunu gösterdi; rank'ı artırmanın etkisi olmadı. LoRA yalnızca üst 8 katmana uygulandığında thinking hiç Türkçeye dönmedi, 42 katmanın tamamına uygulandığında 48 örneğin 48'inde Türkçe oldu. Rank'ı 32'ye çıkarmak bir şey değiştirmedi. 26B-A4B ince ayarında aynı sonuç üretim ölçeğinde de görüldü: thinking'i Türkçe olan cevapların oranı tabanda %46,8, ince ayarlı modelde %100. Ortanca thinking uzunluğu 583 sözcükten 90 sözcüğe, toplam token ortancası 1.144'ten 260'a indi.</w:t>
            </w:r>
          </w:p>
          <w:p>
            <w:pPr>
              <w:keepNext/>
              <w:spacing w:before="200" w:after="60"/>
              <w:jc w:val="left"/>
            </w:pPr>
            <w:r>
              <w:rPr>
                <w:b/>
                <w:bCs/>
                <w:sz w:val="20"/>
                <w:szCs w:val="20"/>
              </w:rPr>
              <w:t xml:space="preserve">İP2.5 Değerlendirme sistemi</w:t>
            </w:r>
          </w:p>
          <w:p>
            <w:pPr>
              <w:spacing w:before="60" w:after="60"/>
              <w:jc w:val="both"/>
            </w:pPr>
            <w:r>
              <w:rPr>
                <w:sz w:val="20"/>
                <w:szCs w:val="20"/>
              </w:rPr>
              <w:t xml:space="preserve">Öneri formundaki "doğruluk", "uzman memnuniyeti" ve "etik/güvenlik" ölçütlerini, terapötik bir diyalog modelinde birbirinden bağımsız bozulabilen beş eksene ayırdık. Her eksenin kendi seti var (Tablo 2):</w:t>
            </w:r>
          </w:p>
          <w:p>
            <w:pPr>
              <w:numPr>
                <w:ilvl w:val="0"/>
                <w:numId w:val="203"/>
              </w:numPr>
              <w:spacing w:before="20" w:after="20"/>
              <w:jc w:val="both"/>
            </w:pPr>
            <w:r>
              <w:rPr>
                <w:sz w:val="20"/>
                <w:szCs w:val="20"/>
              </w:rPr>
              <w:t xml:space="preserve">Terapötik kalite. Elle yazılmış golden setlerde her öğe için otomatik denetlenen iddialar ("yargılamaz", "tek soru sorar", "numara uydurmaz" gibi) ve LLM-judge rubriği (EPITOME, MG uyumu, tuzak ihlali, context fidelity, dil bütünlüğü).</w:t>
            </w:r>
          </w:p>
          <w:p>
            <w:pPr>
              <w:numPr>
                <w:ilvl w:val="0"/>
                <w:numId w:val="203"/>
              </w:numPr>
              <w:spacing w:before="20" w:after="20"/>
              <w:jc w:val="both"/>
            </w:pPr>
            <w:r>
              <w:rPr>
                <w:sz w:val="20"/>
                <w:szCs w:val="20"/>
              </w:rPr>
              <w:t xml:space="preserve">Güvenlik ve kriz. 15 risk ve 5 kontrol öğesi. Bu eksendeki her gerileme işi durdurur.</w:t>
            </w:r>
          </w:p>
          <w:p>
            <w:pPr>
              <w:numPr>
                <w:ilvl w:val="0"/>
                <w:numId w:val="203"/>
              </w:numPr>
              <w:spacing w:before="20" w:after="20"/>
              <w:jc w:val="both"/>
            </w:pPr>
            <w:r>
              <w:rPr>
                <w:sz w:val="20"/>
                <w:szCs w:val="20"/>
              </w:rPr>
              <w:t xml:space="preserve">Forgetting. Aritmetik, özetleme, çeviri ve talimat izleme gibi genel yeteneklerin korunması.</w:t>
            </w:r>
          </w:p>
          <w:p>
            <w:pPr>
              <w:numPr>
                <w:ilvl w:val="0"/>
                <w:numId w:val="203"/>
              </w:numPr>
              <w:spacing w:before="20" w:after="20"/>
              <w:jc w:val="both"/>
            </w:pPr>
            <w:r>
              <w:rPr>
                <w:sz w:val="20"/>
                <w:szCs w:val="20"/>
              </w:rPr>
              <w:t xml:space="preserve">Context fidelity. Verilen bağlamdaki bilgiyi doğru kullanmak ve bağlamda olmayanı uydurmamak; RAG modülüyle (İP3) birlikte çalışmanın ön koşulu.</w:t>
            </w:r>
          </w:p>
          <w:p>
            <w:pPr>
              <w:numPr>
                <w:ilvl w:val="0"/>
                <w:numId w:val="203"/>
              </w:numPr>
              <w:spacing w:before="20" w:after="20"/>
              <w:jc w:val="both"/>
            </w:pPr>
            <w:r>
              <w:rPr>
                <w:sz w:val="20"/>
                <w:szCs w:val="20"/>
              </w:rPr>
              <w:t xml:space="preserve">Sycophancy / özerklik. Kullanıcının hatalı ya da zararlı önermesini onaylamamak. LLM'lerin kullanıcı haksızken bile onu onayladığı gösterildiği için ayrı eksen yapıldı (Cheng vd., 2025).</w:t>
            </w:r>
          </w:p>
          <w:p>
            <w:pPr>
              <w:spacing w:before="60" w:after="60"/>
              <w:jc w:val="both"/>
            </w:pPr>
            <w:r>
              <w:rPr>
                <w:sz w:val="20"/>
                <w:szCs w:val="20"/>
              </w:rPr>
              <w:t xml:space="preserve">Yanıt süresi de operasyonel bir ölçüt olarak izleniyor. Model seçiminde en düşük validation loss'a bakmıyoruz, bir Pareto kuralı uyguluyoruz: güvenlik ekseninde hiç gerileme olmamalı ve forgetting eksenindeki düşüş %3'ü geçmemeli. Bu iki koşulu sağlayan adaylardan terapötik kalitesi en yüksek olanı seçiliyor. İkili karşılaştırmalarda iki bağımsız judge (Gemma-4-31B ve Qwen3.8-27B) kör olarak ve cevapların sırası değiştirilerek iki kez çalıştırıldı. Judge'ların geçerliliğini ekibin 40 çiftlik kör insan etiketiyle sınadık.</w:t>
            </w:r>
          </w:p>
          <w:p>
            <w:pPr>
              <w:keepNext/>
              <w:spacing w:before="200" w:after="60"/>
              <w:jc w:val="left"/>
            </w:pPr>
            <w:r>
              <w:rPr>
                <w:b/>
                <w:bCs/>
                <w:sz w:val="20"/>
                <w:szCs w:val="20"/>
              </w:rPr>
              <w:t xml:space="preserve">İP2.6 Başlangıç (taban) ölçümleri</w:t>
            </w:r>
          </w:p>
          <w:p>
            <w:pPr>
              <w:spacing w:before="60" w:after="60"/>
              <w:jc w:val="both"/>
            </w:pPr>
            <w:r>
              <w:rPr>
                <w:sz w:val="20"/>
                <w:szCs w:val="20"/>
              </w:rPr>
              <w:t xml:space="preserve">İnce ayardan önce eğitilmemiş E4B modelinin tüm eksenlerdeki tabanını ölçtük. Model genel yetenekte güçlü (forgetting 28/30, sycophancy 20/24, context fidelity 15/20). Kriz setindeki sonuç ise otomatik kuralın nasıl tanımlandığına bağlı: kriz öğelerinde düşen 8 cevabın 8'i 112 acil numarasını yazdığı için düşmüş, uydurulmuş numara yok. 112 ihlal sayılırsa taban 6/15, meşru sayılırsa 14/15. golden.locked setinde otomatik iddiaların 46/48'i geçildi; judge rubriğinde çoğunluk kuralıyla 22/48 öğe geçti. Model sert kuralları çiğnemiyor ama MG becerisi de göstermiyor.</w:t>
            </w:r>
          </w:p>
          <w:p>
            <w:pPr>
              <w:spacing w:before="60" w:after="60"/>
              <w:jc w:val="both"/>
            </w:pPr>
            <w:r>
              <w:rPr>
                <w:sz w:val="20"/>
                <w:szCs w:val="20"/>
              </w:rPr>
              <w:t xml:space="preserve">Yanıt süresi tabanı 142 öğede ölçüldü: ortanca 12,9 saniye, %90'lık dilim 16,2 saniye. Süreyi neredeyse tamamen thinking uzunluğu belirliyor. Thinking uzunluğuyla korelasyon 0,94, cevap uzunluğuyla 0,47; thinking'i boş kalan 16 öğede ortanca süre 0,5 saniye. 2 saniye hedefi için ilk yapılması gereken şey, donanımı büyütmekten önce thinking'i kısaltmak.</w:t>
            </w:r>
          </w:p>
          <w:p>
            <w:pPr>
              <w:keepNext/>
              <w:spacing w:before="200" w:after="60"/>
              <w:jc w:val="left"/>
            </w:pPr>
            <w:r>
              <w:rPr>
                <w:b/>
                <w:bCs/>
                <w:sz w:val="20"/>
                <w:szCs w:val="20"/>
              </w:rPr>
              <w:t xml:space="preserve">İP2.7 LoRA kapsamı, derinliği ve veri dozu deneyleri</w:t>
            </w:r>
          </w:p>
          <w:p>
            <w:pPr>
              <w:spacing w:before="60" w:after="60"/>
              <w:jc w:val="both"/>
            </w:pPr>
            <w:r>
              <w:rPr>
                <w:sz w:val="20"/>
                <w:szCs w:val="20"/>
              </w:rPr>
              <w:t xml:space="preserve">Öneri formunda forgetting'i sınırlamak için PEFT/LoRA kullanılması öngörülüyordu; literatür de LoRA'nın tam ince ayara göre daha az unuttuğunu gösteriyor (Biderman vd., 2024). Bizim deneylerimizde ise terapötik ince ayarda asıl kaybolan şey güvenlik davranışı oldu. E4B üzerinde beş LoRA kolunu karşılaştırdık (dar: 8 katman </w:t>
            </w:r>
            <w:r>
              <w:rPr>
                <w:rFonts w:ascii="Consolas" w:hAnsi="Consolas" w:cs="Consolas"/>
                <w:sz w:val="18"/>
                <w:szCs w:val="18"/>
              </w:rPr>
              <w:t xml:space="preserve">q_proj</w:t>
            </w:r>
            <w:r>
              <w:rPr>
                <w:sz w:val="20"/>
                <w:szCs w:val="20"/>
              </w:rPr>
              <w:t xml:space="preserve">; derin: 42 katman; dikkat: + </w:t>
            </w:r>
            <w:r>
              <w:rPr>
                <w:rFonts w:ascii="Consolas" w:hAnsi="Consolas" w:cs="Consolas"/>
                <w:sz w:val="18"/>
                <w:szCs w:val="18"/>
              </w:rPr>
              <w:t xml:space="preserve">o_proj</w:t>
            </w:r>
            <w:r>
              <w:rPr>
                <w:sz w:val="20"/>
                <w:szCs w:val="20"/>
              </w:rPr>
              <w:t xml:space="preserve">; tam: + MLP; geniş: rank 32). Hiçbiri Pareto kuralını geçemedi. Kriz öğelerinde profesyonel desteği hiç anmayan cevap sayısı tabanda 1 iken kollarda 2 ile 13 arasındaydı. Validation loss'u en düşük kol, güvenlikte en kötü ikinci koldu; loss eğrisine bakarak model seçmek bu yüzden yeterli değil.</w:t>
            </w:r>
          </w:p>
          <w:p>
            <w:pPr>
              <w:spacing w:before="60" w:after="60"/>
              <w:jc w:val="both"/>
            </w:pPr>
            <w:r>
              <w:rPr>
                <w:sz w:val="20"/>
                <w:szCs w:val="20"/>
              </w:rPr>
              <w:t xml:space="preserve">Bozulmanın nereden geldiğini ayırmak için iki kontrollü deney yaptık (Şekil 4).</w:t>
            </w:r>
          </w:p>
          <w:p>
            <w:pPr>
              <w:spacing w:before="60" w:after="60"/>
              <w:jc w:val="both"/>
            </w:pPr>
            <w:r>
              <w:rPr>
                <w:sz w:val="20"/>
                <w:szCs w:val="20"/>
              </w:rPr>
              <w:t xml:space="preserve">İlkinde (Şekil 4a) veri, adım, rank ve hedef modül sabit tutuldu, yalnızca LoRA uygulanan katman sayısı değiştirildi. Kriz puanı 12 katmana kadar yavaş yavaş düştü (%63'ten %46'ya), 12'den 13'e geçerken %8'e çöktü. Token bütçesini iki katına çıkararak çöküşün cevapların kesilmesinden kaynaklanmadığını doğruladık. Ek deneyler çöküşün büyük kısmını tek bir katmanın, 29. katmanın eğitime girmesine bağlıyor. Ancak bu sonuç tek seed'li ve 15 öğelik, o yüzden şimdilik ön bulgu.</w:t>
            </w:r>
          </w:p>
          <w:p>
            <w:pPr>
              <w:spacing w:before="60" w:after="60"/>
              <w:jc w:val="both"/>
            </w:pPr>
            <w:r>
              <w:rPr>
                <w:sz w:val="20"/>
                <w:szCs w:val="20"/>
              </w:rPr>
              <w:t xml:space="preserve">İkincisinde (Şekil 4b) eğitim verisinde yönlendirme içeren kayıtların payı %5,1'den %10,2'ye ve %24,1'e çıkarıldı. Beş kolun hiçbirinde yönlendirme kaybı azalmadı, eğri düz kaldı. "Veride yeterince yönlendirme yok" açıklaması böylece elendi. Elimizdeki açıklama şu: veride kriz örneği olmadığı için model yönlendirmeyi sıradan danışmanlık bağlamında öğreniyor ve kriz bağlamına taşımıyor.</w:t>
            </w:r>
          </w:p>
          <w:p>
            <w:pPr>
              <w:keepNext/>
              <w:spacing w:before="120" w:after="0"/>
              <w:jc w:val="center"/>
            </w:pPr>
            <w:r>
              <w:drawing>
                <wp:inline distT="0" distB="0" distL="0" distR="0">
                  <wp:extent cx="5760000" cy="2124878"/>
                  <wp:docPr id="4" name="Şekil 4"/>
                  <a:graphic xmlns:a="http://schemas.openxmlformats.org/drawingml/2006/main">
                    <a:graphicData uri="http://schemas.openxmlformats.org/drawingml/2006/picture">
                      <pic:pic xmlns:pic="http://schemas.openxmlformats.org/drawingml/2006/picture">
                        <pic:nvPicPr>
                          <pic:cNvPr id="4" name="sekil4.png"/>
                          <pic:cNvPicPr/>
                        </pic:nvPicPr>
                        <pic:blipFill>
                          <a:blip r:embed="rIdSekil4"/>
                          <a:stretch>
                            <a:fillRect/>
                          </a:stretch>
                        </pic:blipFill>
                        <pic:spPr>
                          <a:xfrm>
                            <a:off x="0" y="0"/>
                            <a:ext cx="5760000" cy="2124878"/>
                          </a:xfrm>
                          <a:prstGeom prst="rect">
                            <a:avLst/>
                          </a:prstGeom>
                        </pic:spPr>
                      </pic:pic>
                    </a:graphicData>
                  </a:graphic>
                </wp:inline>
              </w:drawing>
            </w:r>
          </w:p>
          <w:p>
            <w:pPr>
              <w:spacing w:before="40" w:after="160"/>
              <w:jc w:val="center"/>
            </w:pPr>
            <w:r>
              <w:rPr>
                <w:sz w:val="17"/>
                <w:szCs w:val="17"/>
              </w:rPr>
              <w:t xml:space="preserve">Şekil 4. a) LoRA derinliği ile kriz davranışı arasındaki ilişki (E4B, v0.0.8, tek seed). b) Eğitim verisindeki yönlendirme dozu ile kriz öğelerinde yönlendirmesiz cevap sayısı arasındaki ilişki (beş LoRA kolu, 16 öğe; düşük değer daha iyidir).</w:t>
            </w:r>
          </w:p>
          <w:p>
            <w:pPr>
              <w:spacing w:before="60" w:after="60"/>
              <w:jc w:val="both"/>
            </w:pPr>
            <w:r>
              <w:rPr>
                <w:sz w:val="20"/>
                <w:szCs w:val="20"/>
              </w:rPr>
              <w:t xml:space="preserve">Daha büyük veriyle (571 kayıt) tekrarlanan kapsam merdiveninde de katman sayısı ve kapsam ile güvenlik kaybı arasında anlamlı bir ilişki çıkmadı. Üç seed'le yapılan karşılaştırmada dar kol daha pahalı kollardan ayırt edilemediği için üretim tarifi olarak dar kolu tuttuk. E4B'nin </w:t>
            </w:r>
            <w:r>
              <w:rPr>
                <w:rFonts w:ascii="Consolas" w:hAnsi="Consolas" w:cs="Consolas"/>
                <w:sz w:val="18"/>
                <w:szCs w:val="18"/>
              </w:rPr>
              <w:t xml:space="preserve">v0.0.18</w:t>
            </w:r>
            <w:r>
              <w:rPr>
                <w:sz w:val="20"/>
                <w:szCs w:val="20"/>
              </w:rPr>
              <w:t xml:space="preserve"> ile 8 seed'li ince ayarında kriz seti 11/20'den 8,75/20'ye, forgetting seti 28/30'dan 26,75/30'a geriledi. Context fidelity ve sycophancy eksenlerindeki fark gürültü düzeyinde kaldı.</w:t>
            </w:r>
          </w:p>
          <w:p>
            <w:pPr>
              <w:keepNext/>
              <w:spacing w:before="200" w:after="60"/>
              <w:jc w:val="left"/>
            </w:pPr>
            <w:r>
              <w:rPr>
                <w:b/>
                <w:bCs/>
                <w:sz w:val="20"/>
                <w:szCs w:val="20"/>
              </w:rPr>
              <w:t xml:space="preserve">İP2.8 Gemma 4 26B-A4B ince ayarı ve taban ile karşılaştırma</w:t>
            </w:r>
          </w:p>
          <w:p>
            <w:pPr>
              <w:spacing w:before="60" w:after="60"/>
              <w:jc w:val="left"/>
            </w:pPr>
            <w:r>
              <w:rPr>
                <w:sz w:val="20"/>
                <w:szCs w:val="20"/>
              </w:rPr>
              <w:t xml:space="preserve">Üretim adayı Gemma 4 26B-A4B, </w:t>
            </w:r>
            <w:r>
              <w:rPr>
                <w:rFonts w:ascii="Consolas" w:hAnsi="Consolas" w:cs="Consolas"/>
                <w:sz w:val="18"/>
                <w:szCs w:val="18"/>
              </w:rPr>
              <w:t xml:space="preserve">v0.1.1</w:t>
            </w:r>
            <w:r>
              <w:rPr>
                <w:sz w:val="20"/>
                <w:szCs w:val="20"/>
              </w:rPr>
              <w:t xml:space="preserve"> veri kümesiyle Colab'da Unsloth ve TRL kullanılarak ince ayarlandı. Çıktı olarak merge edilmiş bf16 ağırlıklar ile Q8_0 ve Q4_K_M GGUF dosyaları üretildi. Model Hugging Face'te paylaşıldı (https://huggingface.co/yildirim34/birag-gemma4-26b). İnce ayarlı modeli tabanla aynı ortamda (A100, greedy decoding, thinking açık, en fazla 2.048 yeni token) Tablo 2'deki setlerde karşılaştırdık. Bu karşılaştırma pre-registration ile mühürlenmemiş bir keşif koşusu; sonuçlar yön gösteriyor ve sonraki dönem mühürlü olarak tekrarlanacak.</w:t>
            </w:r>
          </w:p>
          <w:p>
            <w:pPr>
              <w:keepNext/>
              <w:spacing w:before="120" w:after="40"/>
              <w:jc w:val="left"/>
            </w:pPr>
            <w:r>
              <w:rPr>
                <w:b/>
                <w:bCs/>
                <w:i/>
                <w:iCs/>
                <w:sz w:val="20"/>
                <w:szCs w:val="20"/>
              </w:rPr>
              <w:t xml:space="preserve">Kural uyumu ve Türkçe</w:t>
            </w:r>
          </w:p>
          <w:p>
            <w:pPr>
              <w:spacing w:before="60" w:after="60"/>
              <w:jc w:val="both"/>
            </w:pPr>
            <w:r>
              <w:rPr>
                <w:sz w:val="20"/>
                <w:szCs w:val="20"/>
              </w:rPr>
              <w:t xml:space="preserve">İnce ayardan sonra model projenin yazılı davranış kurallarına belirgin şekilde daha iyi uydu (Tablo 7). Elle yazılmış öğelerin bütün otomatik iddialarını geçme oranı golden setlerde %87,4'ten %97,9'a, tüm terapötik setlerde %69,8'den %85,7'ye çıktı. Tabanın 2.048 token'da kesilen ya da boş kalan cevapları sonucu etkilemesin diye yalnızca iki modelin de dolu cevap verdiği öğelere baktığımızda da artış sürüyor (%79,4'ten %87,3'e). Thinking tamamen Türkçeye döndü, token ortancası 1.144'ten 260'a indi.</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5400"/>
              <w:gridCol w:w="1890"/>
              <w:gridCol w:w="1890"/>
            </w:tblGrid>
            <w:tr>
              <w:trPr>
                <w:cantSplit/>
                <w:tblHeader/>
              </w:trPr>
              <w:tc>
                <w:tcPr>
                  <w:tcW w:w="5400" w:type="dxa"/>
                  <w:shd w:val="clear" w:color="auto" w:fill="E7E6E6"/>
                  <w:tcMar>
                    <w:top w:w="30" w:type="dxa"/>
                    <w:bottom w:w="30" w:type="dxa"/>
                  </w:tcMar>
                  <w:vAlign w:val="center"/>
                </w:tcPr>
                <w:p>
                  <w:pPr>
                    <w:spacing w:before="0" w:after="0"/>
                    <w:jc w:val="left"/>
                  </w:pPr>
                  <w:r>
                    <w:rPr>
                      <w:b/>
                      <w:bCs/>
                      <w:sz w:val="17"/>
                      <w:szCs w:val="17"/>
                    </w:rPr>
                    <w:t xml:space="preserve">Ölçü</w:t>
                  </w:r>
                </w:p>
              </w:tc>
              <w:tc>
                <w:tcPr>
                  <w:tcW w:w="1890" w:type="dxa"/>
                  <w:shd w:val="clear" w:color="auto" w:fill="E7E6E6"/>
                  <w:tcMar>
                    <w:top w:w="30" w:type="dxa"/>
                    <w:bottom w:w="30" w:type="dxa"/>
                  </w:tcMar>
                  <w:vAlign w:val="center"/>
                </w:tcPr>
                <w:p>
                  <w:pPr>
                    <w:spacing w:before="0" w:after="0"/>
                    <w:jc w:val="left"/>
                  </w:pPr>
                  <w:r>
                    <w:rPr>
                      <w:b/>
                      <w:bCs/>
                      <w:sz w:val="17"/>
                      <w:szCs w:val="17"/>
                    </w:rPr>
                    <w:t xml:space="preserve">Taban</w:t>
                  </w:r>
                </w:p>
              </w:tc>
              <w:tc>
                <w:tcPr>
                  <w:tcW w:w="1890" w:type="dxa"/>
                  <w:shd w:val="clear" w:color="auto" w:fill="E7E6E6"/>
                  <w:tcMar>
                    <w:top w:w="30" w:type="dxa"/>
                    <w:bottom w:w="30" w:type="dxa"/>
                  </w:tcMar>
                  <w:vAlign w:val="center"/>
                </w:tcPr>
                <w:p>
                  <w:pPr>
                    <w:spacing w:before="0" w:after="0"/>
                    <w:jc w:val="left"/>
                  </w:pPr>
                  <w:r>
                    <w:rPr>
                      <w:b/>
                      <w:bCs/>
                      <w:sz w:val="17"/>
                      <w:szCs w:val="17"/>
                    </w:rPr>
                    <w:t xml:space="preserve">İnce ayarlı</w:t>
                  </w:r>
                </w:p>
              </w:tc>
            </w:tr>
            <w:tr>
              <w:trPr>
                <w:cantSplit/>
              </w:trPr>
              <w:tc>
                <w:tcPr>
                  <w:tcW w:w="5400" w:type="dxa"/>
                  <w:tcMar>
                    <w:top w:w="30" w:type="dxa"/>
                    <w:bottom w:w="30" w:type="dxa"/>
                  </w:tcMar>
                  <w:vAlign w:val="center"/>
                </w:tcPr>
                <w:p>
                  <w:pPr>
                    <w:spacing w:before="0" w:after="0"/>
                    <w:jc w:val="left"/>
                  </w:pPr>
                  <w:r>
                    <w:rPr>
                      <w:sz w:val="17"/>
                      <w:szCs w:val="17"/>
                    </w:rPr>
                    <w:t xml:space="preserve">Doğruluk proxy'si, golden setler</w:t>
                  </w:r>
                </w:p>
              </w:tc>
              <w:tc>
                <w:tcPr>
                  <w:tcW w:w="1890" w:type="dxa"/>
                  <w:tcMar>
                    <w:top w:w="30" w:type="dxa"/>
                    <w:bottom w:w="30" w:type="dxa"/>
                  </w:tcMar>
                  <w:vAlign w:val="center"/>
                </w:tcPr>
                <w:p>
                  <w:pPr>
                    <w:spacing w:before="0" w:after="0"/>
                    <w:jc w:val="right"/>
                  </w:pPr>
                  <w:r>
                    <w:rPr>
                      <w:sz w:val="17"/>
                      <w:szCs w:val="17"/>
                    </w:rPr>
                    <w:t xml:space="preserve">83/95 (%87,4)</w:t>
                  </w:r>
                </w:p>
              </w:tc>
              <w:tc>
                <w:tcPr>
                  <w:tcW w:w="1890" w:type="dxa"/>
                  <w:tcMar>
                    <w:top w:w="30" w:type="dxa"/>
                    <w:bottom w:w="30" w:type="dxa"/>
                  </w:tcMar>
                  <w:vAlign w:val="center"/>
                </w:tcPr>
                <w:p>
                  <w:pPr>
                    <w:spacing w:before="0" w:after="0"/>
                    <w:jc w:val="right"/>
                  </w:pPr>
                  <w:r>
                    <w:rPr>
                      <w:sz w:val="17"/>
                      <w:szCs w:val="17"/>
                    </w:rPr>
                    <w:t xml:space="preserve">93/95 (%97,9)</w:t>
                  </w:r>
                </w:p>
              </w:tc>
            </w:tr>
            <w:tr>
              <w:trPr>
                <w:cantSplit/>
              </w:trPr>
              <w:tc>
                <w:tcPr>
                  <w:tcW w:w="5400" w:type="dxa"/>
                  <w:tcMar>
                    <w:top w:w="30" w:type="dxa"/>
                    <w:bottom w:w="30" w:type="dxa"/>
                  </w:tcMar>
                  <w:vAlign w:val="center"/>
                </w:tcPr>
                <w:p>
                  <w:pPr>
                    <w:spacing w:before="0" w:after="0"/>
                    <w:jc w:val="left"/>
                  </w:pPr>
                  <w:r>
                    <w:rPr>
                      <w:sz w:val="17"/>
                      <w:szCs w:val="17"/>
                    </w:rPr>
                    <w:t xml:space="preserve">Doğruluk proxy'si, tüm terapötik setler</w:t>
                  </w:r>
                </w:p>
              </w:tc>
              <w:tc>
                <w:tcPr>
                  <w:tcW w:w="1890" w:type="dxa"/>
                  <w:tcMar>
                    <w:top w:w="30" w:type="dxa"/>
                    <w:bottom w:w="30" w:type="dxa"/>
                  </w:tcMar>
                  <w:vAlign w:val="center"/>
                </w:tcPr>
                <w:p>
                  <w:pPr>
                    <w:spacing w:before="0" w:after="0"/>
                    <w:jc w:val="right"/>
                  </w:pPr>
                  <w:r>
                    <w:rPr>
                      <w:sz w:val="17"/>
                      <w:szCs w:val="17"/>
                    </w:rPr>
                    <w:t xml:space="preserve">132/189 (%69,8)</w:t>
                  </w:r>
                </w:p>
              </w:tc>
              <w:tc>
                <w:tcPr>
                  <w:tcW w:w="1890" w:type="dxa"/>
                  <w:tcMar>
                    <w:top w:w="30" w:type="dxa"/>
                    <w:bottom w:w="30" w:type="dxa"/>
                  </w:tcMar>
                  <w:vAlign w:val="center"/>
                </w:tcPr>
                <w:p>
                  <w:pPr>
                    <w:spacing w:before="0" w:after="0"/>
                    <w:jc w:val="right"/>
                  </w:pPr>
                  <w:r>
                    <w:rPr>
                      <w:sz w:val="17"/>
                      <w:szCs w:val="17"/>
                    </w:rPr>
                    <w:t xml:space="preserve">162/189 (%85,7)</w:t>
                  </w:r>
                </w:p>
              </w:tc>
            </w:tr>
            <w:tr>
              <w:trPr>
                <w:cantSplit/>
              </w:trPr>
              <w:tc>
                <w:tcPr>
                  <w:tcW w:w="5400" w:type="dxa"/>
                  <w:tcMar>
                    <w:top w:w="30" w:type="dxa"/>
                    <w:bottom w:w="30" w:type="dxa"/>
                  </w:tcMar>
                  <w:vAlign w:val="center"/>
                </w:tcPr>
                <w:p>
                  <w:pPr>
                    <w:spacing w:before="0" w:after="0"/>
                    <w:jc w:val="left"/>
                  </w:pPr>
                  <w:r>
                    <w:rPr>
                      <w:sz w:val="17"/>
                      <w:szCs w:val="17"/>
                    </w:rPr>
                    <w:t xml:space="preserve">Doğruluk proxy'si, iki modelin de cevap verdiği öğeler</w:t>
                  </w:r>
                </w:p>
              </w:tc>
              <w:tc>
                <w:tcPr>
                  <w:tcW w:w="1890" w:type="dxa"/>
                  <w:tcMar>
                    <w:top w:w="30" w:type="dxa"/>
                    <w:bottom w:w="30" w:type="dxa"/>
                  </w:tcMar>
                  <w:vAlign w:val="center"/>
                </w:tcPr>
                <w:p>
                  <w:pPr>
                    <w:spacing w:before="0" w:after="0"/>
                    <w:jc w:val="right"/>
                  </w:pPr>
                  <w:r>
                    <w:rPr>
                      <w:sz w:val="17"/>
                      <w:szCs w:val="17"/>
                    </w:rPr>
                    <w:t xml:space="preserve">131/165 (%79,4)</w:t>
                  </w:r>
                </w:p>
              </w:tc>
              <w:tc>
                <w:tcPr>
                  <w:tcW w:w="1890" w:type="dxa"/>
                  <w:tcMar>
                    <w:top w:w="30" w:type="dxa"/>
                    <w:bottom w:w="30" w:type="dxa"/>
                  </w:tcMar>
                  <w:vAlign w:val="center"/>
                </w:tcPr>
                <w:p>
                  <w:pPr>
                    <w:spacing w:before="0" w:after="0"/>
                    <w:jc w:val="right"/>
                  </w:pPr>
                  <w:r>
                    <w:rPr>
                      <w:sz w:val="17"/>
                      <w:szCs w:val="17"/>
                    </w:rPr>
                    <w:t xml:space="preserve">144/165 (%87,3)</w:t>
                  </w:r>
                </w:p>
              </w:tc>
            </w:tr>
            <w:tr>
              <w:trPr>
                <w:cantSplit/>
              </w:trPr>
              <w:tc>
                <w:tcPr>
                  <w:tcW w:w="5400" w:type="dxa"/>
                  <w:tcMar>
                    <w:top w:w="30" w:type="dxa"/>
                    <w:bottom w:w="30" w:type="dxa"/>
                  </w:tcMar>
                  <w:vAlign w:val="center"/>
                </w:tcPr>
                <w:p>
                  <w:pPr>
                    <w:spacing w:before="0" w:after="0"/>
                    <w:jc w:val="left"/>
                  </w:pPr>
                  <w:r>
                    <w:rPr>
                      <w:sz w:val="17"/>
                      <w:szCs w:val="17"/>
                    </w:rPr>
                    <w:t xml:space="preserve">Genel yetenek (forgetting seti)</w:t>
                  </w:r>
                </w:p>
              </w:tc>
              <w:tc>
                <w:tcPr>
                  <w:tcW w:w="1890" w:type="dxa"/>
                  <w:tcMar>
                    <w:top w:w="30" w:type="dxa"/>
                    <w:bottom w:w="30" w:type="dxa"/>
                  </w:tcMar>
                  <w:vAlign w:val="center"/>
                </w:tcPr>
                <w:p>
                  <w:pPr>
                    <w:spacing w:before="0" w:after="0"/>
                    <w:jc w:val="right"/>
                  </w:pPr>
                  <w:r>
                    <w:rPr>
                      <w:sz w:val="17"/>
                      <w:szCs w:val="17"/>
                    </w:rPr>
                    <w:t xml:space="preserve">28/30 (%93,3)</w:t>
                  </w:r>
                </w:p>
              </w:tc>
              <w:tc>
                <w:tcPr>
                  <w:tcW w:w="1890" w:type="dxa"/>
                  <w:tcMar>
                    <w:top w:w="30" w:type="dxa"/>
                    <w:bottom w:w="30" w:type="dxa"/>
                  </w:tcMar>
                  <w:vAlign w:val="center"/>
                </w:tcPr>
                <w:p>
                  <w:pPr>
                    <w:spacing w:before="0" w:after="0"/>
                    <w:jc w:val="right"/>
                  </w:pPr>
                  <w:r>
                    <w:rPr>
                      <w:sz w:val="17"/>
                      <w:szCs w:val="17"/>
                    </w:rPr>
                    <w:t xml:space="preserve">26/30 (%86,7)</w:t>
                  </w:r>
                </w:p>
              </w:tc>
            </w:tr>
            <w:tr>
              <w:trPr>
                <w:cantSplit/>
              </w:trPr>
              <w:tc>
                <w:tcPr>
                  <w:tcW w:w="5400" w:type="dxa"/>
                  <w:tcMar>
                    <w:top w:w="30" w:type="dxa"/>
                    <w:bottom w:w="30" w:type="dxa"/>
                  </w:tcMar>
                  <w:vAlign w:val="center"/>
                </w:tcPr>
                <w:p>
                  <w:pPr>
                    <w:spacing w:before="0" w:after="0"/>
                    <w:jc w:val="left"/>
                  </w:pPr>
                  <w:r>
                    <w:rPr>
                      <w:sz w:val="17"/>
                      <w:szCs w:val="17"/>
                    </w:rPr>
                    <w:t xml:space="preserve">Türkçe thinking / Türkçe cevap</w:t>
                  </w:r>
                </w:p>
              </w:tc>
              <w:tc>
                <w:tcPr>
                  <w:tcW w:w="1890" w:type="dxa"/>
                  <w:tcMar>
                    <w:top w:w="30" w:type="dxa"/>
                    <w:bottom w:w="30" w:type="dxa"/>
                  </w:tcMar>
                  <w:vAlign w:val="center"/>
                </w:tcPr>
                <w:p>
                  <w:pPr>
                    <w:spacing w:before="0" w:after="0"/>
                    <w:jc w:val="right"/>
                  </w:pPr>
                  <w:r>
                    <w:rPr>
                      <w:sz w:val="17"/>
                      <w:szCs w:val="17"/>
                    </w:rPr>
                    <w:t xml:space="preserve">%46,8 / %100</w:t>
                  </w:r>
                </w:p>
              </w:tc>
              <w:tc>
                <w:tcPr>
                  <w:tcW w:w="1890" w:type="dxa"/>
                  <w:tcMar>
                    <w:top w:w="30" w:type="dxa"/>
                    <w:bottom w:w="30" w:type="dxa"/>
                  </w:tcMar>
                  <w:vAlign w:val="center"/>
                </w:tcPr>
                <w:p>
                  <w:pPr>
                    <w:spacing w:before="0" w:after="0"/>
                    <w:jc w:val="right"/>
                  </w:pPr>
                  <w:r>
                    <w:rPr>
                      <w:sz w:val="17"/>
                      <w:szCs w:val="17"/>
                    </w:rPr>
                    <w:t xml:space="preserve">%100 / %100</w:t>
                  </w:r>
                </w:p>
              </w:tc>
            </w:tr>
            <w:tr>
              <w:trPr>
                <w:cantSplit/>
              </w:trPr>
              <w:tc>
                <w:tcPr>
                  <w:tcW w:w="5400" w:type="dxa"/>
                  <w:tcMar>
                    <w:top w:w="30" w:type="dxa"/>
                    <w:bottom w:w="30" w:type="dxa"/>
                  </w:tcMar>
                  <w:vAlign w:val="center"/>
                </w:tcPr>
                <w:p>
                  <w:pPr>
                    <w:spacing w:before="0" w:after="0"/>
                    <w:jc w:val="left"/>
                  </w:pPr>
                  <w:r>
                    <w:rPr>
                      <w:sz w:val="17"/>
                      <w:szCs w:val="17"/>
                    </w:rPr>
                    <w:t xml:space="preserve">Token ortancası (terapötik setler)</w:t>
                  </w:r>
                </w:p>
              </w:tc>
              <w:tc>
                <w:tcPr>
                  <w:tcW w:w="1890" w:type="dxa"/>
                  <w:tcMar>
                    <w:top w:w="30" w:type="dxa"/>
                    <w:bottom w:w="30" w:type="dxa"/>
                  </w:tcMar>
                  <w:vAlign w:val="center"/>
                </w:tcPr>
                <w:p>
                  <w:pPr>
                    <w:spacing w:before="0" w:after="0"/>
                    <w:jc w:val="right"/>
                  </w:pPr>
                  <w:r>
                    <w:rPr>
                      <w:sz w:val="17"/>
                      <w:szCs w:val="17"/>
                    </w:rPr>
                    <w:t xml:space="preserve">1.144</w:t>
                  </w:r>
                </w:p>
              </w:tc>
              <w:tc>
                <w:tcPr>
                  <w:tcW w:w="1890" w:type="dxa"/>
                  <w:tcMar>
                    <w:top w:w="30" w:type="dxa"/>
                    <w:bottom w:w="30" w:type="dxa"/>
                  </w:tcMar>
                  <w:vAlign w:val="center"/>
                </w:tcPr>
                <w:p>
                  <w:pPr>
                    <w:spacing w:before="0" w:after="0"/>
                    <w:jc w:val="right"/>
                  </w:pPr>
                  <w:r>
                    <w:rPr>
                      <w:sz w:val="17"/>
                      <w:szCs w:val="17"/>
                    </w:rPr>
                    <w:t xml:space="preserve">260</w:t>
                  </w:r>
                </w:p>
              </w:tc>
            </w:tr>
            <w:tr>
              <w:trPr>
                <w:cantSplit/>
              </w:trPr>
              <w:tc>
                <w:tcPr>
                  <w:tcW w:w="5400" w:type="dxa"/>
                  <w:tcMar>
                    <w:top w:w="30" w:type="dxa"/>
                    <w:bottom w:w="30" w:type="dxa"/>
                  </w:tcMar>
                  <w:vAlign w:val="center"/>
                </w:tcPr>
                <w:p>
                  <w:pPr>
                    <w:spacing w:before="0" w:after="0"/>
                    <w:jc w:val="left"/>
                  </w:pPr>
                  <w:r>
                    <w:rPr>
                      <w:sz w:val="17"/>
                      <w:szCs w:val="17"/>
                    </w:rPr>
                    <w:t xml:space="preserve">2.048 token'da kesilen / boş cevap</w:t>
                  </w:r>
                </w:p>
              </w:tc>
              <w:tc>
                <w:tcPr>
                  <w:tcW w:w="1890" w:type="dxa"/>
                  <w:tcMar>
                    <w:top w:w="30" w:type="dxa"/>
                    <w:bottom w:w="30" w:type="dxa"/>
                  </w:tcMar>
                  <w:vAlign w:val="center"/>
                </w:tcPr>
                <w:p>
                  <w:pPr>
                    <w:spacing w:before="0" w:after="0"/>
                    <w:jc w:val="right"/>
                  </w:pPr>
                  <w:r>
                    <w:rPr>
                      <w:sz w:val="17"/>
                      <w:szCs w:val="17"/>
                    </w:rPr>
                    <w:t xml:space="preserve">23 / 22</w:t>
                  </w:r>
                </w:p>
              </w:tc>
              <w:tc>
                <w:tcPr>
                  <w:tcW w:w="1890" w:type="dxa"/>
                  <w:tcMar>
                    <w:top w:w="30" w:type="dxa"/>
                    <w:bottom w:w="30" w:type="dxa"/>
                  </w:tcMar>
                  <w:vAlign w:val="center"/>
                </w:tcPr>
                <w:p>
                  <w:pPr>
                    <w:spacing w:before="0" w:after="0"/>
                    <w:jc w:val="right"/>
                  </w:pPr>
                  <w:r>
                    <w:rPr>
                      <w:sz w:val="17"/>
                      <w:szCs w:val="17"/>
                    </w:rPr>
                    <w:t xml:space="preserve">3 / 3</w:t>
                  </w:r>
                </w:p>
              </w:tc>
            </w:tr>
            <w:tr>
              <w:trPr>
                <w:cantSplit/>
              </w:trPr>
              <w:tc>
                <w:tcPr>
                  <w:tcW w:w="5400" w:type="dxa"/>
                  <w:tcMar>
                    <w:top w:w="30" w:type="dxa"/>
                    <w:bottom w:w="30" w:type="dxa"/>
                  </w:tcMar>
                  <w:vAlign w:val="center"/>
                </w:tcPr>
                <w:p>
                  <w:pPr>
                    <w:spacing w:before="0" w:after="0"/>
                    <w:jc w:val="left"/>
                  </w:pPr>
                  <w:r>
                    <w:rPr>
                      <w:sz w:val="17"/>
                      <w:szCs w:val="17"/>
                    </w:rPr>
                    <w:t xml:space="preserve">Zararlı yanıt adayı (en az bir işaret)</w:t>
                  </w:r>
                </w:p>
              </w:tc>
              <w:tc>
                <w:tcPr>
                  <w:tcW w:w="1890" w:type="dxa"/>
                  <w:tcMar>
                    <w:top w:w="30" w:type="dxa"/>
                    <w:bottom w:w="30" w:type="dxa"/>
                  </w:tcMar>
                  <w:vAlign w:val="center"/>
                </w:tcPr>
                <w:p>
                  <w:pPr>
                    <w:spacing w:before="0" w:after="0"/>
                    <w:jc w:val="right"/>
                  </w:pPr>
                  <w:r>
                    <w:rPr>
                      <w:sz w:val="17"/>
                      <w:szCs w:val="17"/>
                    </w:rPr>
                    <w:t xml:space="preserve">9/190 (%4,7)</w:t>
                  </w:r>
                </w:p>
              </w:tc>
              <w:tc>
                <w:tcPr>
                  <w:tcW w:w="1890" w:type="dxa"/>
                  <w:tcMar>
                    <w:top w:w="30" w:type="dxa"/>
                    <w:bottom w:w="30" w:type="dxa"/>
                  </w:tcMar>
                  <w:vAlign w:val="center"/>
                </w:tcPr>
                <w:p>
                  <w:pPr>
                    <w:spacing w:before="0" w:after="0"/>
                    <w:jc w:val="right"/>
                  </w:pPr>
                  <w:r>
                    <w:rPr>
                      <w:sz w:val="17"/>
                      <w:szCs w:val="17"/>
                    </w:rPr>
                    <w:t xml:space="preserve">13/190 (%6,8)</w:t>
                  </w:r>
                </w:p>
              </w:tc>
            </w:tr>
          </w:tbl>
          <w:p>
            <w:pPr>
              <w:spacing w:before="0" w:after="0"/>
              <w:jc w:val="both"/>
            </w:pPr>
          </w:p>
          <w:p>
            <w:pPr>
              <w:spacing w:before="0" w:after="100"/>
              <w:jc w:val="left"/>
            </w:pPr>
            <w:r>
              <w:rPr>
                <w:i/>
                <w:iCs/>
                <w:sz w:val="17"/>
                <w:szCs w:val="17"/>
              </w:rPr>
              <w:t xml:space="preserve">Tablo 7. 26B-A4B taban ve ince ayarlı modelin otomatik ölçüleri (keşif koşusu). Doğruluk proxy'si kural uyumunu ölçer; cevabın terapötik kalitesini ölçmez. Kaynak: </w:t>
            </w:r>
            <w:r>
              <w:rPr>
                <w:rFonts w:ascii="Consolas" w:hAnsi="Consolas" w:cs="Consolas"/>
                <w:i/>
                <w:iCs/>
                <w:sz w:val="15"/>
                <w:szCs w:val="15"/>
              </w:rPr>
              <w:t xml:space="preserve">reports/analiz/2026-10-20-ip2-olcutler.md</w:t>
            </w:r>
            <w:r>
              <w:rPr>
                <w:i/>
                <w:iCs/>
                <w:sz w:val="17"/>
                <w:szCs w:val="17"/>
              </w:rPr>
              <w:t xml:space="preserve">.</w:t>
            </w:r>
          </w:p>
          <w:p>
            <w:pPr>
              <w:keepNext/>
              <w:spacing w:before="120" w:after="40"/>
              <w:jc w:val="left"/>
            </w:pPr>
            <w:r>
              <w:rPr>
                <w:b/>
                <w:bCs/>
                <w:i/>
                <w:iCs/>
                <w:sz w:val="20"/>
                <w:szCs w:val="20"/>
              </w:rPr>
              <w:t xml:space="preserve">Kalite: insan ve judge değerlendirmesi</w:t>
            </w:r>
          </w:p>
          <w:p>
            <w:pPr>
              <w:spacing w:before="60" w:after="60"/>
              <w:jc w:val="both"/>
            </w:pPr>
            <w:r>
              <w:rPr>
                <w:sz w:val="20"/>
                <w:szCs w:val="20"/>
              </w:rPr>
              <w:t xml:space="preserve">Cevapların genel kalitesine bakan kör pairwise karşılaştırmalar ise tabanı üstün buldu (Şekil 5). Ekip 40 tabakalı çiftte 26'ya 8 taban lehine karar verdi (sign test p = 0,003). İnsanla en çok uyuşan judge (Gemma-4-31B, κ = 0,44) da 200 çiftte tabanı açık farkla tercih etti. Qwen3.8-27B'de belirgin bir position bias vardı: cevapların sırası değişince kararın yalnızca %47'si aynı kaldı, insanla uyumu κ = 0,22 ile geçerlilik eşiğinin (κ ≥ 0,40) altındaydı. İki judge'ın uyuşmasını şart koşan jüri kararı bu yüzden "eşit"e kaydı; jüri sonucunu fark olmadığı şeklinde okumamak gerekir. Tabanın kesilip boş kaldığı öğeler çıkarıldığında Gemma judge'ında taban üstünlüğü daha da açılıyor (110'a 10).</w:t>
            </w:r>
          </w:p>
          <w:p>
            <w:pPr>
              <w:spacing w:before="60" w:after="60"/>
              <w:jc w:val="both"/>
            </w:pPr>
            <w:r>
              <w:rPr>
                <w:sz w:val="20"/>
                <w:szCs w:val="20"/>
              </w:rPr>
              <w:t xml:space="preserve">Cevapları tek tek okuduğumuzda ince ayarlı modelin cevapları mekanik ve "tutanak tutar gibi" geldi. Kullanıcının söylediğini tekrar eden kalıplar ("…yazdın / dedin") %1,5'ten %34,1'e, "bilemem / söyleyemem" kalıpları %2,0'dan %30,1'e çıktı. Aynı kalıplar eğitim verisinde de yüksek oranda (%21,4 ve %19,2) bulunuyor, yani sorun veriden geliyor.</w:t>
            </w:r>
          </w:p>
          <w:p>
            <w:pPr>
              <w:keepNext/>
              <w:spacing w:before="120" w:after="0"/>
              <w:jc w:val="center"/>
            </w:pPr>
            <w:r>
              <w:drawing>
                <wp:inline distT="0" distB="0" distL="0" distR="0">
                  <wp:extent cx="5760000" cy="1615468"/>
                  <wp:docPr id="5" name="Şekil 5"/>
                  <a:graphic xmlns:a="http://schemas.openxmlformats.org/drawingml/2006/main">
                    <a:graphicData uri="http://schemas.openxmlformats.org/drawingml/2006/picture">
                      <pic:pic xmlns:pic="http://schemas.openxmlformats.org/drawingml/2006/picture">
                        <pic:nvPicPr>
                          <pic:cNvPr id="5" name="sekil5.png"/>
                          <pic:cNvPicPr/>
                        </pic:nvPicPr>
                        <pic:blipFill>
                          <a:blip r:embed="rIdSekil5"/>
                          <a:stretch>
                            <a:fillRect/>
                          </a:stretch>
                        </pic:blipFill>
                        <pic:spPr>
                          <a:xfrm>
                            <a:off x="0" y="0"/>
                            <a:ext cx="5760000" cy="1615468"/>
                          </a:xfrm>
                          <a:prstGeom prst="rect">
                            <a:avLst/>
                          </a:prstGeom>
                        </pic:spPr>
                      </pic:pic>
                    </a:graphicData>
                  </a:graphic>
                </wp:inline>
              </w:drawing>
            </w:r>
          </w:p>
          <w:p>
            <w:pPr>
              <w:spacing w:before="40" w:after="160"/>
              <w:jc w:val="center"/>
            </w:pPr>
            <w:r>
              <w:rPr>
                <w:sz w:val="17"/>
                <w:szCs w:val="17"/>
              </w:rPr>
              <w:t xml:space="preserve">Şekil 5. Taban ve ince ayarlı 26B-A4B modelin kör pairwise karşılaştırması. Her satır bir değerlendirme kaynağıdır; p değerleri eşit kararlar dışarıda bırakılarak sign test ile hesaplanmıştır.</w:t>
            </w:r>
          </w:p>
          <w:p>
            <w:pPr>
              <w:keepNext/>
              <w:spacing w:before="120" w:after="40"/>
              <w:jc w:val="left"/>
            </w:pPr>
            <w:r>
              <w:rPr>
                <w:b/>
                <w:bCs/>
                <w:i/>
                <w:iCs/>
                <w:sz w:val="20"/>
                <w:szCs w:val="20"/>
              </w:rPr>
              <w:t xml:space="preserve">Güvenlik</w:t>
            </w:r>
          </w:p>
          <w:p>
            <w:pPr>
              <w:spacing w:before="60" w:after="60"/>
              <w:jc w:val="both"/>
            </w:pPr>
            <w:r>
              <w:rPr>
                <w:sz w:val="20"/>
                <w:szCs w:val="20"/>
              </w:rPr>
              <w:t xml:space="preserve">Güvenlik ekseninde ciddi bir gerileme gördük (Şekil 6). Risk taşıyan 15 öğenin 4'ünde taban model danışanı bir profesyonele ya da kriz hattına yönlendirirken ince ayarlı model yönlendirmedi. Bunlardan biri setteki en yüksek şiddetli öğe ("tuhaf bir sakinlik", "karar verdim galiba"). İnce ayarlı model bir öğede de 182'yi kriz hattı olarak verdi; 182 Türkiye'de MHRS randevu hattı, kriz hattı değil. Kural tabanlı denetim bu kaybı göstermedi, çünkü aynı kural tabanın 112 yazan cevaplarını da düşürüyordu. Kaybı ancak cevapları öğe öğe okuyarak fark ettik. Kriz içermeyen 5 kontrol öğesinde ince ayarlı model gereksiz yere acil hat önermedi.</w:t>
            </w:r>
          </w:p>
          <w:p>
            <w:pPr>
              <w:keepNext/>
              <w:spacing w:before="120" w:after="0"/>
              <w:jc w:val="center"/>
            </w:pPr>
            <w:r>
              <w:drawing>
                <wp:inline distT="0" distB="0" distL="0" distR="0">
                  <wp:extent cx="5760000" cy="1119517"/>
                  <wp:docPr id="6" name="Şekil 6"/>
                  <a:graphic xmlns:a="http://schemas.openxmlformats.org/drawingml/2006/main">
                    <a:graphicData uri="http://schemas.openxmlformats.org/drawingml/2006/picture">
                      <pic:pic xmlns:pic="http://schemas.openxmlformats.org/drawingml/2006/picture">
                        <pic:nvPicPr>
                          <pic:cNvPr id="6" name="sekil6.png"/>
                          <pic:cNvPicPr/>
                        </pic:nvPicPr>
                        <pic:blipFill>
                          <a:blip r:embed="rIdSekil6"/>
                          <a:stretch>
                            <a:fillRect/>
                          </a:stretch>
                        </pic:blipFill>
                        <pic:spPr>
                          <a:xfrm>
                            <a:off x="0" y="0"/>
                            <a:ext cx="5760000" cy="1119517"/>
                          </a:xfrm>
                          <a:prstGeom prst="rect">
                            <a:avLst/>
                          </a:prstGeom>
                        </pic:spPr>
                      </pic:pic>
                    </a:graphicData>
                  </a:graphic>
                </wp:inline>
              </w:drawing>
            </w:r>
          </w:p>
          <w:p>
            <w:pPr>
              <w:spacing w:before="40" w:after="160"/>
              <w:jc w:val="center"/>
            </w:pPr>
            <w:r>
              <w:rPr>
                <w:sz w:val="17"/>
                <w:szCs w:val="17"/>
              </w:rPr>
              <w:t xml:space="preserve">Şekil 6. Risk taşıyan 15 güvenlik öğesinde cevabın profesyonel/kriz kaynağına yönlendirme içerip içermediği. Turuncu halkalar tabanda bulunup ince ayarlı modelde kaybolan yönlendirmelerdir.</w:t>
            </w:r>
          </w:p>
          <w:p>
            <w:pPr>
              <w:keepNext/>
              <w:spacing w:before="200" w:after="60"/>
              <w:jc w:val="left"/>
            </w:pPr>
            <w:r>
              <w:rPr>
                <w:b/>
                <w:bCs/>
                <w:sz w:val="20"/>
                <w:szCs w:val="20"/>
              </w:rPr>
              <w:t xml:space="preserve">İP2.9 Tartışma: krizsiz verinin bedeli ve güvenlik katmanı</w:t>
            </w:r>
          </w:p>
          <w:p>
            <w:pPr>
              <w:spacing w:before="60" w:after="60"/>
              <w:jc w:val="both"/>
            </w:pPr>
            <w:r>
              <w:rPr>
                <w:sz w:val="20"/>
                <w:szCs w:val="20"/>
              </w:rPr>
              <w:t xml:space="preserve">E4B deneyleri de 26B ince ayarı da aynı yere çıkıyor: içinde kriz örneği olmayan bir veri kümesiyle ince ayar yapınca tabanın kriz yönlendirmesi aşınıyor. LoRA'nın kapsamını ya da rank'ını değiştirmek, veri hacmini ya da verideki yönlendirme dozunu artırmak bunu düzeltmedi (Bölüm İP2.7). İP1'de kriz dilimini, uzman ve etik kurul onayı gerektiği için bilerek üretmemiştik. </w:t>
            </w:r>
            <w:r>
              <w:rPr>
                <w:rFonts w:ascii="Consolas" w:hAnsi="Consolas" w:cs="Consolas"/>
                <w:sz w:val="18"/>
                <w:szCs w:val="18"/>
              </w:rPr>
              <w:t xml:space="preserve">v0.1.1</w:t>
            </w:r>
            <w:r>
              <w:rPr>
                <w:sz w:val="20"/>
                <w:szCs w:val="20"/>
              </w:rPr>
              <w:t xml:space="preserve">'in 1.654 danışman turunda 112, 182 ya da "kriz hattı" hiç geçmiyor. Ölçek-5k üretiminde de risk sinyali taşıyan kullanıcı turu olmadığından, hacmi artırmak bu açığı kapatmayacak. Alana özgü ince ayarın modelin güvenlik hizalamasını bozabildiği başka çalışmalarda da gösterilmiş (Hsu vd., 2024).</w:t>
            </w:r>
          </w:p>
          <w:p>
            <w:pPr>
              <w:spacing w:before="60" w:after="60"/>
              <w:jc w:val="both"/>
            </w:pPr>
            <w:r>
              <w:rPr>
                <w:sz w:val="20"/>
                <w:szCs w:val="20"/>
              </w:rPr>
              <w:t xml:space="preserve">Bu sonucun proje açısından iki karşılığı var. Birincisi, uzman onaylı Güvenlik Planı protokolüne dayanan bir kriz dilimi üretilmeden hiçbir ince ayarlı model güvenlik kontrolünü geçemeyecek; bu, sonraki dönemde İP1 ve İP2'nin önceliği. İkincisi, kriz tespiti yalnızca ince ayarlı modele bırakılmamalı. Hat numarası ve kurum gibi kriz kaynak bilgisi model ağırlıklarında değil uygulama yapılandırmasında tutulmalı. Bu gerekliliği, öneri formunda İP4'te yer alan risk değerlendirme ve koordinatör ajanlarının tasarımına girdi olsun diye İP4'e bir teslim notuyla ilettik. Kriz onayı alınana kadar ince ayarlı modelin kullanıcıya açılmamasını öneriyoruz.</w:t>
            </w:r>
          </w:p>
          <w:p>
            <w:pPr>
              <w:spacing w:before="60" w:after="60"/>
              <w:jc w:val="both"/>
            </w:pPr>
            <w:r>
              <w:rPr>
                <w:sz w:val="20"/>
                <w:szCs w:val="20"/>
              </w:rPr>
              <w:t xml:space="preserve">Ölçümün kendisiyle ilgili bir sonuç da var. Kural uyumunu ölçen doğruluk proxy'si ince ayarlı modeli açıkça üstün gösterirken insan değerlendirmesi ve insanla uyumlu judge tabanı üstün buldu. Terapötik kalitede kurallara uymak gerekli ama yetmiyor; İP2'nin "doğruluk %90" ölçütü için uzman değerlendirmesi şart.</w:t>
            </w:r>
          </w:p>
          <w:p>
            <w:pPr>
              <w:keepNext/>
              <w:spacing w:before="200" w:after="60"/>
              <w:jc w:val="left"/>
            </w:pPr>
            <w:r>
              <w:rPr>
                <w:b/>
                <w:bCs/>
                <w:sz w:val="20"/>
                <w:szCs w:val="20"/>
              </w:rPr>
              <w:t xml:space="preserve">İP2.10 BLEU/ROUGE ve yanıt süresi ölçümleri</w:t>
            </w:r>
          </w:p>
          <w:p>
            <w:pPr>
              <w:spacing w:before="60" w:after="60"/>
              <w:jc w:val="both"/>
            </w:pPr>
            <w:r>
              <w:rPr>
                <w:sz w:val="20"/>
                <w:szCs w:val="20"/>
              </w:rPr>
              <w:t xml:space="preserve">Değerlendirme setlerinde tasarım gereği referans cevap yok. BLEU/ROUGE için bu yüzden ayrı bir referans seti hazırladık: eğitimde kullanılmayan ve değerlendirme seed'leriyle çakışmayan ölçek-5k kayıtlarından, tur tipi ve mesaj biçimine göre tabakalı 200 kayıt. İki model bu setteki konuşmalara Colab'da cevap üretti (A100, greedy decoding, thinking açık, en fazla 2.048 yeni token). Puanlamada BLEU (Papineni vd., 2002), chrF, ROUGE-1/2/L (Lin, 2004) ve BERTScore (Zhang vd., 2020) kullanıldı. Metinler Türkçe case folding ile tokenize edildi, güven aralıkları 1.000 resample'lı bootstrap ile hesaplandı (Tablo 8).</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275"/>
              <w:gridCol w:w="1596"/>
              <w:gridCol w:w="1668"/>
              <w:gridCol w:w="2103"/>
              <w:gridCol w:w="2538"/>
            </w:tblGrid>
            <w:tr>
              <w:trPr>
                <w:cantSplit/>
                <w:tblHeader/>
              </w:trPr>
              <w:tc>
                <w:tcPr>
                  <w:tcW w:w="1275" w:type="dxa"/>
                  <w:shd w:val="clear" w:color="auto" w:fill="E7E6E6"/>
                  <w:tcMar>
                    <w:top w:w="30" w:type="dxa"/>
                    <w:bottom w:w="30" w:type="dxa"/>
                  </w:tcMar>
                  <w:vAlign w:val="center"/>
                </w:tcPr>
                <w:p>
                  <w:pPr>
                    <w:spacing w:before="0" w:after="0"/>
                    <w:jc w:val="left"/>
                  </w:pPr>
                  <w:r>
                    <w:rPr>
                      <w:b/>
                      <w:bCs/>
                      <w:sz w:val="17"/>
                      <w:szCs w:val="17"/>
                    </w:rPr>
                    <w:t xml:space="preserve">Ölçü</w:t>
                  </w:r>
                </w:p>
              </w:tc>
              <w:tc>
                <w:tcPr>
                  <w:tcW w:w="1596" w:type="dxa"/>
                  <w:shd w:val="clear" w:color="auto" w:fill="E7E6E6"/>
                  <w:tcMar>
                    <w:top w:w="30" w:type="dxa"/>
                    <w:bottom w:w="30" w:type="dxa"/>
                  </w:tcMar>
                  <w:vAlign w:val="center"/>
                </w:tcPr>
                <w:p>
                  <w:pPr>
                    <w:spacing w:before="0" w:after="0"/>
                    <w:jc w:val="left"/>
                  </w:pPr>
                  <w:r>
                    <w:rPr>
                      <w:b/>
                      <w:bCs/>
                      <w:sz w:val="17"/>
                      <w:szCs w:val="17"/>
                    </w:rPr>
                    <w:t xml:space="preserve">Taban (200)</w:t>
                  </w:r>
                </w:p>
              </w:tc>
              <w:tc>
                <w:tcPr>
                  <w:tcW w:w="1668" w:type="dxa"/>
                  <w:shd w:val="clear" w:color="auto" w:fill="E7E6E6"/>
                  <w:tcMar>
                    <w:top w:w="30" w:type="dxa"/>
                    <w:bottom w:w="30" w:type="dxa"/>
                  </w:tcMar>
                  <w:vAlign w:val="center"/>
                </w:tcPr>
                <w:p>
                  <w:pPr>
                    <w:spacing w:before="0" w:after="0"/>
                    <w:jc w:val="left"/>
                  </w:pPr>
                  <w:r>
                    <w:rPr>
                      <w:b/>
                      <w:bCs/>
                      <w:sz w:val="17"/>
                      <w:szCs w:val="17"/>
                    </w:rPr>
                    <w:t xml:space="preserve">İnce ayarlı (200)</w:t>
                  </w:r>
                </w:p>
              </w:tc>
              <w:tc>
                <w:tcPr>
                  <w:tcW w:w="2103" w:type="dxa"/>
                  <w:shd w:val="clear" w:color="auto" w:fill="E7E6E6"/>
                  <w:tcMar>
                    <w:top w:w="30" w:type="dxa"/>
                    <w:bottom w:w="30" w:type="dxa"/>
                  </w:tcMar>
                  <w:vAlign w:val="center"/>
                </w:tcPr>
                <w:p>
                  <w:pPr>
                    <w:spacing w:before="0" w:after="0"/>
                    <w:jc w:val="left"/>
                  </w:pPr>
                  <w:r>
                    <w:rPr>
                      <w:b/>
                      <w:bCs/>
                      <w:sz w:val="17"/>
                      <w:szCs w:val="17"/>
                    </w:rPr>
                    <w:t xml:space="preserve">Taban, ikisi dolu (163)</w:t>
                  </w:r>
                </w:p>
              </w:tc>
              <w:tc>
                <w:tcPr>
                  <w:tcW w:w="2538" w:type="dxa"/>
                  <w:shd w:val="clear" w:color="auto" w:fill="E7E6E6"/>
                  <w:tcMar>
                    <w:top w:w="30" w:type="dxa"/>
                    <w:bottom w:w="30" w:type="dxa"/>
                  </w:tcMar>
                  <w:vAlign w:val="center"/>
                </w:tcPr>
                <w:p>
                  <w:pPr>
                    <w:spacing w:before="0" w:after="0"/>
                    <w:jc w:val="left"/>
                  </w:pPr>
                  <w:r>
                    <w:rPr>
                      <w:b/>
                      <w:bCs/>
                      <w:sz w:val="17"/>
                      <w:szCs w:val="17"/>
                    </w:rPr>
                    <w:t xml:space="preserve">İnce ayarlı, ikisi dolu (163)</w:t>
                  </w:r>
                </w:p>
              </w:tc>
            </w:tr>
            <w:tr>
              <w:trPr>
                <w:cantSplit/>
              </w:trPr>
              <w:tc>
                <w:tcPr>
                  <w:tcW w:w="1275" w:type="dxa"/>
                  <w:tcMar>
                    <w:top w:w="30" w:type="dxa"/>
                    <w:bottom w:w="30" w:type="dxa"/>
                  </w:tcMar>
                  <w:vAlign w:val="center"/>
                </w:tcPr>
                <w:p>
                  <w:pPr>
                    <w:spacing w:before="0" w:after="0"/>
                    <w:jc w:val="left"/>
                  </w:pPr>
                  <w:r>
                    <w:rPr>
                      <w:sz w:val="17"/>
                      <w:szCs w:val="17"/>
                    </w:rPr>
                    <w:t xml:space="preserve">BLEU</w:t>
                  </w:r>
                </w:p>
              </w:tc>
              <w:tc>
                <w:tcPr>
                  <w:tcW w:w="1596" w:type="dxa"/>
                  <w:tcMar>
                    <w:top w:w="30" w:type="dxa"/>
                    <w:bottom w:w="30" w:type="dxa"/>
                  </w:tcMar>
                  <w:vAlign w:val="center"/>
                </w:tcPr>
                <w:p>
                  <w:pPr>
                    <w:spacing w:before="0" w:after="0"/>
                    <w:jc w:val="right"/>
                  </w:pPr>
                  <w:r>
                    <w:rPr>
                      <w:sz w:val="17"/>
                      <w:szCs w:val="17"/>
                    </w:rPr>
                    <w:t xml:space="preserve">0,4 (0,2–0,5)</w:t>
                  </w:r>
                </w:p>
              </w:tc>
              <w:tc>
                <w:tcPr>
                  <w:tcW w:w="1668" w:type="dxa"/>
                  <w:tcMar>
                    <w:top w:w="30" w:type="dxa"/>
                    <w:bottom w:w="30" w:type="dxa"/>
                  </w:tcMar>
                  <w:vAlign w:val="center"/>
                </w:tcPr>
                <w:p>
                  <w:pPr>
                    <w:spacing w:before="0" w:after="0"/>
                    <w:jc w:val="right"/>
                  </w:pPr>
                  <w:r>
                    <w:rPr>
                      <w:sz w:val="17"/>
                      <w:szCs w:val="17"/>
                    </w:rPr>
                    <w:t xml:space="preserve">5,1 (4,1–6,2)</w:t>
                  </w:r>
                </w:p>
              </w:tc>
              <w:tc>
                <w:tcPr>
                  <w:tcW w:w="2103" w:type="dxa"/>
                  <w:tcMar>
                    <w:top w:w="30" w:type="dxa"/>
                    <w:bottom w:w="30" w:type="dxa"/>
                  </w:tcMar>
                  <w:vAlign w:val="center"/>
                </w:tcPr>
                <w:p>
                  <w:pPr>
                    <w:spacing w:before="0" w:after="0"/>
                    <w:jc w:val="right"/>
                  </w:pPr>
                  <w:r>
                    <w:rPr>
                      <w:sz w:val="17"/>
                      <w:szCs w:val="17"/>
                    </w:rPr>
                    <w:t xml:space="preserve">0,6 (0,4–0,9)</w:t>
                  </w:r>
                </w:p>
              </w:tc>
              <w:tc>
                <w:tcPr>
                  <w:tcW w:w="2538" w:type="dxa"/>
                  <w:tcMar>
                    <w:top w:w="30" w:type="dxa"/>
                    <w:bottom w:w="30" w:type="dxa"/>
                  </w:tcMar>
                  <w:vAlign w:val="center"/>
                </w:tcPr>
                <w:p>
                  <w:pPr>
                    <w:spacing w:before="0" w:after="0"/>
                    <w:jc w:val="right"/>
                  </w:pPr>
                  <w:r>
                    <w:rPr>
                      <w:sz w:val="17"/>
                      <w:szCs w:val="17"/>
                    </w:rPr>
                    <w:t xml:space="preserve">4,5 (3,4–5,6)</w:t>
                  </w:r>
                </w:p>
              </w:tc>
            </w:tr>
            <w:tr>
              <w:trPr>
                <w:cantSplit/>
              </w:trPr>
              <w:tc>
                <w:tcPr>
                  <w:tcW w:w="1275" w:type="dxa"/>
                  <w:tcMar>
                    <w:top w:w="30" w:type="dxa"/>
                    <w:bottom w:w="30" w:type="dxa"/>
                  </w:tcMar>
                  <w:vAlign w:val="center"/>
                </w:tcPr>
                <w:p>
                  <w:pPr>
                    <w:spacing w:before="0" w:after="0"/>
                    <w:jc w:val="left"/>
                  </w:pPr>
                  <w:r>
                    <w:rPr>
                      <w:sz w:val="17"/>
                      <w:szCs w:val="17"/>
                    </w:rPr>
                    <w:t xml:space="preserve">chrF</w:t>
                  </w:r>
                </w:p>
              </w:tc>
              <w:tc>
                <w:tcPr>
                  <w:tcW w:w="1596" w:type="dxa"/>
                  <w:tcMar>
                    <w:top w:w="30" w:type="dxa"/>
                    <w:bottom w:w="30" w:type="dxa"/>
                  </w:tcMar>
                  <w:vAlign w:val="center"/>
                </w:tcPr>
                <w:p>
                  <w:pPr>
                    <w:spacing w:before="0" w:after="0"/>
                    <w:jc w:val="right"/>
                  </w:pPr>
                  <w:r>
                    <w:rPr>
                      <w:sz w:val="17"/>
                      <w:szCs w:val="17"/>
                    </w:rPr>
                    <w:t xml:space="preserve">14,6 (13,3–15,8)</w:t>
                  </w:r>
                </w:p>
              </w:tc>
              <w:tc>
                <w:tcPr>
                  <w:tcW w:w="1668" w:type="dxa"/>
                  <w:tcMar>
                    <w:top w:w="30" w:type="dxa"/>
                    <w:bottom w:w="30" w:type="dxa"/>
                  </w:tcMar>
                  <w:vAlign w:val="center"/>
                </w:tcPr>
                <w:p>
                  <w:pPr>
                    <w:spacing w:before="0" w:after="0"/>
                    <w:jc w:val="right"/>
                  </w:pPr>
                  <w:r>
                    <w:rPr>
                      <w:sz w:val="17"/>
                      <w:szCs w:val="17"/>
                    </w:rPr>
                    <w:t xml:space="preserve">33,2 (31,9–34,6)</w:t>
                  </w:r>
                </w:p>
              </w:tc>
              <w:tc>
                <w:tcPr>
                  <w:tcW w:w="2103" w:type="dxa"/>
                  <w:tcMar>
                    <w:top w:w="30" w:type="dxa"/>
                    <w:bottom w:w="30" w:type="dxa"/>
                  </w:tcMar>
                  <w:vAlign w:val="center"/>
                </w:tcPr>
                <w:p>
                  <w:pPr>
                    <w:spacing w:before="0" w:after="0"/>
                    <w:jc w:val="right"/>
                  </w:pPr>
                  <w:r>
                    <w:rPr>
                      <w:sz w:val="17"/>
                      <w:szCs w:val="17"/>
                    </w:rPr>
                    <w:t xml:space="preserve">17,7 (16,6–18,8)</w:t>
                  </w:r>
                </w:p>
              </w:tc>
              <w:tc>
                <w:tcPr>
                  <w:tcW w:w="2538" w:type="dxa"/>
                  <w:tcMar>
                    <w:top w:w="30" w:type="dxa"/>
                    <w:bottom w:w="30" w:type="dxa"/>
                  </w:tcMar>
                  <w:vAlign w:val="center"/>
                </w:tcPr>
                <w:p>
                  <w:pPr>
                    <w:spacing w:before="0" w:after="0"/>
                    <w:jc w:val="right"/>
                  </w:pPr>
                  <w:r>
                    <w:rPr>
                      <w:sz w:val="17"/>
                      <w:szCs w:val="17"/>
                    </w:rPr>
                    <w:t xml:space="preserve">32,6 (31,2–34,1)</w:t>
                  </w:r>
                </w:p>
              </w:tc>
            </w:tr>
            <w:tr>
              <w:trPr>
                <w:cantSplit/>
              </w:trPr>
              <w:tc>
                <w:tcPr>
                  <w:tcW w:w="1275" w:type="dxa"/>
                  <w:tcMar>
                    <w:top w:w="30" w:type="dxa"/>
                    <w:bottom w:w="30" w:type="dxa"/>
                  </w:tcMar>
                  <w:vAlign w:val="center"/>
                </w:tcPr>
                <w:p>
                  <w:pPr>
                    <w:spacing w:before="0" w:after="0"/>
                    <w:jc w:val="left"/>
                  </w:pPr>
                  <w:r>
                    <w:rPr>
                      <w:sz w:val="17"/>
                      <w:szCs w:val="17"/>
                    </w:rPr>
                    <w:t xml:space="preserve">ROUGE-1</w:t>
                  </w:r>
                </w:p>
              </w:tc>
              <w:tc>
                <w:tcPr>
                  <w:tcW w:w="1596" w:type="dxa"/>
                  <w:tcMar>
                    <w:top w:w="30" w:type="dxa"/>
                    <w:bottom w:w="30" w:type="dxa"/>
                  </w:tcMar>
                  <w:vAlign w:val="center"/>
                </w:tcPr>
                <w:p>
                  <w:pPr>
                    <w:spacing w:before="0" w:after="0"/>
                    <w:jc w:val="right"/>
                  </w:pPr>
                  <w:r>
                    <w:rPr>
                      <w:sz w:val="17"/>
                      <w:szCs w:val="17"/>
                    </w:rPr>
                    <w:t xml:space="preserve">11,3 (10,2–12,4)</w:t>
                  </w:r>
                </w:p>
              </w:tc>
              <w:tc>
                <w:tcPr>
                  <w:tcW w:w="1668" w:type="dxa"/>
                  <w:tcMar>
                    <w:top w:w="30" w:type="dxa"/>
                    <w:bottom w:w="30" w:type="dxa"/>
                  </w:tcMar>
                  <w:vAlign w:val="center"/>
                </w:tcPr>
                <w:p>
                  <w:pPr>
                    <w:spacing w:before="0" w:after="0"/>
                    <w:jc w:val="right"/>
                  </w:pPr>
                  <w:r>
                    <w:rPr>
                      <w:sz w:val="17"/>
                      <w:szCs w:val="17"/>
                    </w:rPr>
                    <w:t xml:space="preserve">24,5 (23,1–25,8)</w:t>
                  </w:r>
                </w:p>
              </w:tc>
              <w:tc>
                <w:tcPr>
                  <w:tcW w:w="2103" w:type="dxa"/>
                  <w:tcMar>
                    <w:top w:w="30" w:type="dxa"/>
                    <w:bottom w:w="30" w:type="dxa"/>
                  </w:tcMar>
                  <w:vAlign w:val="center"/>
                </w:tcPr>
                <w:p>
                  <w:pPr>
                    <w:spacing w:before="0" w:after="0"/>
                    <w:jc w:val="right"/>
                  </w:pPr>
                  <w:r>
                    <w:rPr>
                      <w:sz w:val="17"/>
                      <w:szCs w:val="17"/>
                    </w:rPr>
                    <w:t xml:space="preserve">13,9 (12,7–15,0)</w:t>
                  </w:r>
                </w:p>
              </w:tc>
              <w:tc>
                <w:tcPr>
                  <w:tcW w:w="2538" w:type="dxa"/>
                  <w:tcMar>
                    <w:top w:w="30" w:type="dxa"/>
                    <w:bottom w:w="30" w:type="dxa"/>
                  </w:tcMar>
                  <w:vAlign w:val="center"/>
                </w:tcPr>
                <w:p>
                  <w:pPr>
                    <w:spacing w:before="0" w:after="0"/>
                    <w:jc w:val="right"/>
                  </w:pPr>
                  <w:r>
                    <w:rPr>
                      <w:sz w:val="17"/>
                      <w:szCs w:val="17"/>
                    </w:rPr>
                    <w:t xml:space="preserve">24,1 (22,8–25,5)</w:t>
                  </w:r>
                </w:p>
              </w:tc>
            </w:tr>
            <w:tr>
              <w:trPr>
                <w:cantSplit/>
              </w:trPr>
              <w:tc>
                <w:tcPr>
                  <w:tcW w:w="1275" w:type="dxa"/>
                  <w:tcMar>
                    <w:top w:w="30" w:type="dxa"/>
                    <w:bottom w:w="30" w:type="dxa"/>
                  </w:tcMar>
                  <w:vAlign w:val="center"/>
                </w:tcPr>
                <w:p>
                  <w:pPr>
                    <w:spacing w:before="0" w:after="0"/>
                    <w:jc w:val="left"/>
                  </w:pPr>
                  <w:r>
                    <w:rPr>
                      <w:sz w:val="17"/>
                      <w:szCs w:val="17"/>
                    </w:rPr>
                    <w:t xml:space="preserve">ROUGE-2</w:t>
                  </w:r>
                </w:p>
              </w:tc>
              <w:tc>
                <w:tcPr>
                  <w:tcW w:w="1596" w:type="dxa"/>
                  <w:tcMar>
                    <w:top w:w="30" w:type="dxa"/>
                    <w:bottom w:w="30" w:type="dxa"/>
                  </w:tcMar>
                  <w:vAlign w:val="center"/>
                </w:tcPr>
                <w:p>
                  <w:pPr>
                    <w:spacing w:before="0" w:after="0"/>
                    <w:jc w:val="right"/>
                  </w:pPr>
                  <w:r>
                    <w:rPr>
                      <w:sz w:val="17"/>
                      <w:szCs w:val="17"/>
                    </w:rPr>
                    <w:t xml:space="preserve">2,0 (1,6–2,4)</w:t>
                  </w:r>
                </w:p>
              </w:tc>
              <w:tc>
                <w:tcPr>
                  <w:tcW w:w="1668" w:type="dxa"/>
                  <w:tcMar>
                    <w:top w:w="30" w:type="dxa"/>
                    <w:bottom w:w="30" w:type="dxa"/>
                  </w:tcMar>
                  <w:vAlign w:val="center"/>
                </w:tcPr>
                <w:p>
                  <w:pPr>
                    <w:spacing w:before="0" w:after="0"/>
                    <w:jc w:val="right"/>
                  </w:pPr>
                  <w:r>
                    <w:rPr>
                      <w:sz w:val="17"/>
                      <w:szCs w:val="17"/>
                    </w:rPr>
                    <w:t xml:space="preserve">7,7 (6,7–8,7)</w:t>
                  </w:r>
                </w:p>
              </w:tc>
              <w:tc>
                <w:tcPr>
                  <w:tcW w:w="2103" w:type="dxa"/>
                  <w:tcMar>
                    <w:top w:w="30" w:type="dxa"/>
                    <w:bottom w:w="30" w:type="dxa"/>
                  </w:tcMar>
                  <w:vAlign w:val="center"/>
                </w:tcPr>
                <w:p>
                  <w:pPr>
                    <w:spacing w:before="0" w:after="0"/>
                    <w:jc w:val="right"/>
                  </w:pPr>
                  <w:r>
                    <w:rPr>
                      <w:sz w:val="17"/>
                      <w:szCs w:val="17"/>
                    </w:rPr>
                    <w:t xml:space="preserve">2,4 (1,9–3,0)</w:t>
                  </w:r>
                </w:p>
              </w:tc>
              <w:tc>
                <w:tcPr>
                  <w:tcW w:w="2538" w:type="dxa"/>
                  <w:tcMar>
                    <w:top w:w="30" w:type="dxa"/>
                    <w:bottom w:w="30" w:type="dxa"/>
                  </w:tcMar>
                  <w:vAlign w:val="center"/>
                </w:tcPr>
                <w:p>
                  <w:pPr>
                    <w:spacing w:before="0" w:after="0"/>
                    <w:jc w:val="right"/>
                  </w:pPr>
                  <w:r>
                    <w:rPr>
                      <w:sz w:val="17"/>
                      <w:szCs w:val="17"/>
                    </w:rPr>
                    <w:t xml:space="preserve">7,1 (6,1–8,1)</w:t>
                  </w:r>
                </w:p>
              </w:tc>
            </w:tr>
            <w:tr>
              <w:trPr>
                <w:cantSplit/>
              </w:trPr>
              <w:tc>
                <w:tcPr>
                  <w:tcW w:w="1275" w:type="dxa"/>
                  <w:tcMar>
                    <w:top w:w="30" w:type="dxa"/>
                    <w:bottom w:w="30" w:type="dxa"/>
                  </w:tcMar>
                  <w:vAlign w:val="center"/>
                </w:tcPr>
                <w:p>
                  <w:pPr>
                    <w:spacing w:before="0" w:after="0"/>
                    <w:jc w:val="left"/>
                  </w:pPr>
                  <w:r>
                    <w:rPr>
                      <w:sz w:val="17"/>
                      <w:szCs w:val="17"/>
                    </w:rPr>
                    <w:t xml:space="preserve">ROUGE-L</w:t>
                  </w:r>
                </w:p>
              </w:tc>
              <w:tc>
                <w:tcPr>
                  <w:tcW w:w="1596" w:type="dxa"/>
                  <w:tcMar>
                    <w:top w:w="30" w:type="dxa"/>
                    <w:bottom w:w="30" w:type="dxa"/>
                  </w:tcMar>
                  <w:vAlign w:val="center"/>
                </w:tcPr>
                <w:p>
                  <w:pPr>
                    <w:spacing w:before="0" w:after="0"/>
                    <w:jc w:val="right"/>
                  </w:pPr>
                  <w:r>
                    <w:rPr>
                      <w:sz w:val="17"/>
                      <w:szCs w:val="17"/>
                    </w:rPr>
                    <w:t xml:space="preserve">8,8 (7,9–9,6)</w:t>
                  </w:r>
                </w:p>
              </w:tc>
              <w:tc>
                <w:tcPr>
                  <w:tcW w:w="1668" w:type="dxa"/>
                  <w:tcMar>
                    <w:top w:w="30" w:type="dxa"/>
                    <w:bottom w:w="30" w:type="dxa"/>
                  </w:tcMar>
                  <w:vAlign w:val="center"/>
                </w:tcPr>
                <w:p>
                  <w:pPr>
                    <w:spacing w:before="0" w:after="0"/>
                    <w:jc w:val="right"/>
                  </w:pPr>
                  <w:r>
                    <w:rPr>
                      <w:sz w:val="17"/>
                      <w:szCs w:val="17"/>
                    </w:rPr>
                    <w:t xml:space="preserve">16,3 (15,2–17,4)</w:t>
                  </w:r>
                </w:p>
              </w:tc>
              <w:tc>
                <w:tcPr>
                  <w:tcW w:w="2103" w:type="dxa"/>
                  <w:tcMar>
                    <w:top w:w="30" w:type="dxa"/>
                    <w:bottom w:w="30" w:type="dxa"/>
                  </w:tcMar>
                  <w:vAlign w:val="center"/>
                </w:tcPr>
                <w:p>
                  <w:pPr>
                    <w:spacing w:before="0" w:after="0"/>
                    <w:jc w:val="right"/>
                  </w:pPr>
                  <w:r>
                    <w:rPr>
                      <w:sz w:val="17"/>
                      <w:szCs w:val="17"/>
                    </w:rPr>
                    <w:t xml:space="preserve">10,7 (9,8–11,5)</w:t>
                  </w:r>
                </w:p>
              </w:tc>
              <w:tc>
                <w:tcPr>
                  <w:tcW w:w="2538" w:type="dxa"/>
                  <w:tcMar>
                    <w:top w:w="30" w:type="dxa"/>
                    <w:bottom w:w="30" w:type="dxa"/>
                  </w:tcMar>
                  <w:vAlign w:val="center"/>
                </w:tcPr>
                <w:p>
                  <w:pPr>
                    <w:spacing w:before="0" w:after="0"/>
                    <w:jc w:val="right"/>
                  </w:pPr>
                  <w:r>
                    <w:rPr>
                      <w:sz w:val="17"/>
                      <w:szCs w:val="17"/>
                    </w:rPr>
                    <w:t xml:space="preserve">15,7 (14,6–16,7)</w:t>
                  </w:r>
                </w:p>
              </w:tc>
            </w:tr>
            <w:tr>
              <w:trPr>
                <w:cantSplit/>
              </w:trPr>
              <w:tc>
                <w:tcPr>
                  <w:tcW w:w="1275" w:type="dxa"/>
                  <w:tcMar>
                    <w:top w:w="30" w:type="dxa"/>
                    <w:bottom w:w="30" w:type="dxa"/>
                  </w:tcMar>
                  <w:vAlign w:val="center"/>
                </w:tcPr>
                <w:p>
                  <w:pPr>
                    <w:spacing w:before="0" w:after="0"/>
                    <w:jc w:val="left"/>
                  </w:pPr>
                  <w:r>
                    <w:rPr>
                      <w:sz w:val="17"/>
                      <w:szCs w:val="17"/>
                    </w:rPr>
                    <w:t xml:space="preserve">BERTScore</w:t>
                  </w:r>
                </w:p>
              </w:tc>
              <w:tc>
                <w:tcPr>
                  <w:tcW w:w="1596" w:type="dxa"/>
                  <w:tcMar>
                    <w:top w:w="30" w:type="dxa"/>
                    <w:bottom w:w="30" w:type="dxa"/>
                  </w:tcMar>
                  <w:vAlign w:val="center"/>
                </w:tcPr>
                <w:p>
                  <w:pPr>
                    <w:spacing w:before="0" w:after="0"/>
                    <w:jc w:val="right"/>
                  </w:pPr>
                  <w:r>
                    <w:rPr>
                      <w:sz w:val="17"/>
                      <w:szCs w:val="17"/>
                    </w:rPr>
                    <w:t xml:space="preserve">55,2 (51,6–58,4)</w:t>
                  </w:r>
                </w:p>
              </w:tc>
              <w:tc>
                <w:tcPr>
                  <w:tcW w:w="1668" w:type="dxa"/>
                  <w:tcMar>
                    <w:top w:w="30" w:type="dxa"/>
                    <w:bottom w:w="30" w:type="dxa"/>
                  </w:tcMar>
                  <w:vAlign w:val="center"/>
                </w:tcPr>
                <w:p>
                  <w:pPr>
                    <w:spacing w:before="0" w:after="0"/>
                    <w:jc w:val="right"/>
                  </w:pPr>
                  <w:r>
                    <w:rPr>
                      <w:sz w:val="17"/>
                      <w:szCs w:val="17"/>
                    </w:rPr>
                    <w:t xml:space="preserve">69,6 (68,2–70,7)</w:t>
                  </w:r>
                </w:p>
              </w:tc>
              <w:tc>
                <w:tcPr>
                  <w:tcW w:w="2103" w:type="dxa"/>
                  <w:tcMar>
                    <w:top w:w="30" w:type="dxa"/>
                    <w:bottom w:w="30" w:type="dxa"/>
                  </w:tcMar>
                  <w:vAlign w:val="center"/>
                </w:tcPr>
                <w:p>
                  <w:pPr>
                    <w:spacing w:before="0" w:after="0"/>
                    <w:jc w:val="right"/>
                  </w:pPr>
                  <w:r>
                    <w:rPr>
                      <w:sz w:val="17"/>
                      <w:szCs w:val="17"/>
                    </w:rPr>
                    <w:t xml:space="preserve">67,0 (66,5–67,5)</w:t>
                  </w:r>
                </w:p>
              </w:tc>
              <w:tc>
                <w:tcPr>
                  <w:tcW w:w="2538" w:type="dxa"/>
                  <w:tcMar>
                    <w:top w:w="30" w:type="dxa"/>
                    <w:bottom w:w="30" w:type="dxa"/>
                  </w:tcMar>
                  <w:vAlign w:val="center"/>
                </w:tcPr>
                <w:p>
                  <w:pPr>
                    <w:spacing w:before="0" w:after="0"/>
                    <w:jc w:val="right"/>
                  </w:pPr>
                  <w:r>
                    <w:rPr>
                      <w:sz w:val="17"/>
                      <w:szCs w:val="17"/>
                    </w:rPr>
                    <w:t xml:space="preserve">70,3 (69,8–70,8)</w:t>
                  </w:r>
                </w:p>
              </w:tc>
            </w:tr>
          </w:tbl>
          <w:p>
            <w:pPr>
              <w:spacing w:before="0" w:after="0"/>
              <w:jc w:val="both"/>
            </w:pPr>
          </w:p>
          <w:p>
            <w:pPr>
              <w:spacing w:before="0" w:after="100"/>
              <w:jc w:val="left"/>
            </w:pPr>
            <w:r>
              <w:rPr>
                <w:i/>
                <w:iCs/>
                <w:sz w:val="17"/>
                <w:szCs w:val="17"/>
              </w:rPr>
              <w:t xml:space="preserve">Tablo 8. Referans setinde metin benzerliği (0–100, parantez içinde %95 güven aralığı). "İkisi dolu" sütunları yalnızca iki modelin de boş olmayan cevap verdiği kayıtları içerir. Kaynak: </w:t>
            </w:r>
            <w:r>
              <w:rPr>
                <w:rFonts w:ascii="Consolas" w:hAnsi="Consolas" w:cs="Consolas"/>
                <w:i/>
                <w:iCs/>
                <w:sz w:val="15"/>
                <w:szCs w:val="15"/>
              </w:rPr>
              <w:t xml:space="preserve">reports/analiz/2026-10-20-rapor-bleu-gecikme.md</w:t>
            </w:r>
            <w:r>
              <w:rPr>
                <w:i/>
                <w:iCs/>
                <w:sz w:val="17"/>
                <w:szCs w:val="17"/>
              </w:rPr>
              <w:t xml:space="preserve">.</w:t>
            </w:r>
          </w:p>
          <w:p>
            <w:pPr>
              <w:spacing w:before="60" w:after="60"/>
              <w:jc w:val="both"/>
            </w:pPr>
            <w:r>
              <w:rPr>
                <w:sz w:val="20"/>
                <w:szCs w:val="20"/>
              </w:rPr>
              <w:t xml:space="preserve">Öneri formundaki %80 hedefine hiçbir ölçüde yaklaşılamadı; ince ayarlı modelde BLEU 5,1, ROUGE-L 16,3. Bunu bekliyorduk. Aynı danışan mesajına birçok doğru terapötik cevap verilebildiği için kelime düzeyinde örtüşme düşük kalıyor (Liu vd., 2016). İnce ayarlı model bütün ölçülerde tabanın üstünde: chrF 14,6'ya karşı 33,2, BERTScore 55,2'ye karşı 69,6. Tabanın 35 boş cevabı bu farkı büyütüyor. Yalnızca iki modelin de cevap verdiği 163 kayda bakınca fark daralıyor ama yönü değişmiyor (BERTScore 67,0'a karşı 70,3, chrF 17,7'ye karşı 32,6). Cevap uzunluğunda da ince ayarlı model referansa daha yakın: ortanca 39 sözcük, referansta 48, tabanda 16.</w:t>
            </w:r>
          </w:p>
          <w:p>
            <w:pPr>
              <w:spacing w:before="60" w:after="60"/>
              <w:jc w:val="both"/>
            </w:pPr>
            <w:r>
              <w:rPr>
                <w:sz w:val="20"/>
                <w:szCs w:val="20"/>
              </w:rPr>
              <w:t xml:space="preserve">Referans cevapları da bir LLM yazdı ve bunlar henüz C aşaması denetiminden geçmedi. Bu yüzden sonuçları uzman cevabına benzerlik olarak değil, veri kümesinin üslubuna yakınlık olarak okuyoruz. Bu okuma, insan değerlendirmesinde tabanın üstün çıkmasıyla (Bölüm İP2.8) çelişmiyor: benzerlik ölçüleri cevabın üslubunu ölçer, terapötik olarak iyi olup olmadığını ölçmez. Bu ölçütün form hedefiyle değil, iki modelin kıyası olarak raporlanmasını ve uzman ile LLM-judge değerlendirmesinin birincil ölçüt sayılmasını öneriyoruz.</w:t>
            </w:r>
          </w:p>
          <w:p>
            <w:pPr>
              <w:spacing w:before="60" w:after="60"/>
              <w:jc w:val="both"/>
            </w:pPr>
            <w:r>
              <w:rPr>
                <w:sz w:val="20"/>
                <w:szCs w:val="20"/>
              </w:rPr>
              <w:t xml:space="preserve">Yanıt süresini golden.test setindeki 48 soruda, istekleri tek tek göndererek ve cevabı akış hâlinde üreterek ölçtük (Şekil 7). Üç durum karşılaştırıldı: taban ve ince ayarlı model thinking açıkken, ince ayarlı model ayrıca thinking kapalıyken. İlk token her durumda yarım saniye civarında geliyor (ortanca 0,48–0,62 sn). Ancak thinking açıkken kullanıcı, thinking bitene kadar cevabın ilk kelimesini göremiyor. Bu bekleme tabanda ortanca 158,5 saniye, ince ayarlı modelde 29,0 saniye. Thinking kapalıyken görünen cevap 0,62 saniyede başlıyor ve ortanca 14,5 saniyede bitiyor.</w:t>
            </w:r>
          </w:p>
          <w:p>
            <w:pPr>
              <w:keepNext/>
              <w:spacing w:before="120" w:after="0"/>
              <w:jc w:val="center"/>
            </w:pPr>
            <w:r>
              <w:drawing>
                <wp:inline distT="0" distB="0" distL="0" distR="0">
                  <wp:extent cx="5760000" cy="1458852"/>
                  <wp:docPr id="7" name="Şekil 7"/>
                  <a:graphic xmlns:a="http://schemas.openxmlformats.org/drawingml/2006/main">
                    <a:graphicData uri="http://schemas.openxmlformats.org/drawingml/2006/picture">
                      <pic:pic xmlns:pic="http://schemas.openxmlformats.org/drawingml/2006/picture">
                        <pic:nvPicPr>
                          <pic:cNvPr id="7" name="sekil7.png"/>
                          <pic:cNvPicPr/>
                        </pic:nvPicPr>
                        <pic:blipFill>
                          <a:blip r:embed="rIdSekil7"/>
                          <a:stretch>
                            <a:fillRect/>
                          </a:stretch>
                        </pic:blipFill>
                        <pic:spPr>
                          <a:xfrm>
                            <a:off x="0" y="0"/>
                            <a:ext cx="5760000" cy="1458852"/>
                          </a:xfrm>
                          <a:prstGeom prst="rect">
                            <a:avLst/>
                          </a:prstGeom>
                        </pic:spPr>
                      </pic:pic>
                    </a:graphicData>
                  </a:graphic>
                </wp:inline>
              </w:drawing>
            </w:r>
          </w:p>
          <w:p>
            <w:pPr>
              <w:spacing w:before="40" w:after="160"/>
              <w:jc w:val="center"/>
            </w:pPr>
            <w:r>
              <w:rPr>
                <w:sz w:val="17"/>
                <w:szCs w:val="17"/>
              </w:rPr>
              <w:t xml:space="preserve">Şekil 7. Tek istek yanıt süresi (golden.test, 48 soru, ortanca). Gri bölüm thinking bitene kadar geçen süre, renkli bölüm görünen cevabın akışıdır; kesikli çizgi öneri formundaki 2 saniye hedefidir. Ortam: Colab A100, Hugging Face generate, batch 1.</w:t>
            </w:r>
          </w:p>
          <w:p>
            <w:pPr>
              <w:spacing w:before="60" w:after="60"/>
              <w:jc w:val="both"/>
            </w:pPr>
            <w:r>
              <w:rPr>
                <w:sz w:val="20"/>
                <w:szCs w:val="20"/>
              </w:rPr>
              <w:t xml:space="preserve">Toplam sürelerin 2 saniyeyi aşmasında çıkarım ortamının payı büyük. Ölçüm Hugging Face generate ile yapıldı ve üretim hızı üç durumda da saniyede yaklaşık 7 token oldu (ortanca 6,8–7,1). Hız modelden modele değişmediğine göre süreyi belirleyen, üretilen token sayısı ve bu ortamın yavaşlığı. vLLM gibi bir üretim sunucusunda ve quantization ile ölçüm sonraki döneme kaldı. Formdaki "yanıt süresi" ifadesi iki türlü okunabilir. Cevap akış hâlinde gösterilirse, thinking kapalı ince ayarlı model 2 saniye içinde yanıt vermeye başlıyor. Cevabın tamamı ise bu ortamda hiçbir durumda 2 saniyenin altına inmiyor.</w:t>
            </w:r>
          </w:p>
          <w:p>
            <w:pPr>
              <w:keepNext/>
              <w:spacing w:before="200" w:after="60"/>
              <w:jc w:val="left"/>
            </w:pPr>
            <w:r>
              <w:rPr>
                <w:b/>
                <w:bCs/>
                <w:sz w:val="20"/>
                <w:szCs w:val="20"/>
              </w:rPr>
              <w:t xml:space="preserve">İP2.11 Ara çıktılar</w:t>
            </w:r>
          </w:p>
          <w:p>
            <w:pPr>
              <w:spacing w:before="60" w:after="60"/>
              <w:jc w:val="both"/>
            </w:pPr>
            <w:r>
              <w:rPr>
                <w:sz w:val="20"/>
                <w:szCs w:val="20"/>
              </w:rPr>
              <w:t xml:space="preserve">İP2 kapsamındaki ara çıktılar ekler bölümündedir:</w:t>
            </w:r>
          </w:p>
          <w:p>
            <w:pPr>
              <w:numPr>
                <w:ilvl w:val="0"/>
                <w:numId w:val="101"/>
              </w:numPr>
              <w:spacing w:before="20" w:after="20"/>
              <w:jc w:val="left"/>
            </w:pPr>
            <w:r>
              <w:rPr>
                <w:sz w:val="20"/>
                <w:szCs w:val="20"/>
              </w:rPr>
              <w:t xml:space="preserve">Ek 2-A: Eğitim yapılandırmaları (YAML), MLX ve Colab/Unsloth eğitim defterleri, MLX ↔ PEFT parametre mapping'i (https://github.com/enveryildirim/birag-data-generation)</w:t>
            </w:r>
          </w:p>
          <w:p>
            <w:pPr>
              <w:numPr>
                <w:ilvl w:val="0"/>
                <w:numId w:val="101"/>
              </w:numPr>
              <w:spacing w:before="20" w:after="20"/>
              <w:jc w:val="both"/>
            </w:pPr>
            <w:r>
              <w:rPr>
                <w:sz w:val="20"/>
                <w:szCs w:val="20"/>
              </w:rPr>
              <w:t xml:space="preserve">Ek 2-B: Pre-registration belgeleri ve mühür özetleri</w:t>
            </w:r>
          </w:p>
          <w:p>
            <w:pPr>
              <w:numPr>
                <w:ilvl w:val="0"/>
                <w:numId w:val="101"/>
              </w:numPr>
              <w:spacing w:before="20" w:after="20"/>
              <w:jc w:val="both"/>
            </w:pPr>
            <w:r>
              <w:rPr>
                <w:sz w:val="20"/>
                <w:szCs w:val="20"/>
              </w:rPr>
              <w:t xml:space="preserve">Ek 2-C: Beş eksenli değerlendirme protokolü, judge rubrikleri ve değerlendirme defterleri</w:t>
            </w:r>
          </w:p>
          <w:p>
            <w:pPr>
              <w:numPr>
                <w:ilvl w:val="0"/>
                <w:numId w:val="101"/>
              </w:numPr>
              <w:spacing w:before="20" w:after="20"/>
              <w:jc w:val="both"/>
            </w:pPr>
            <w:r>
              <w:rPr>
                <w:sz w:val="20"/>
                <w:szCs w:val="20"/>
              </w:rPr>
              <w:t xml:space="preserve">Ek 2-D: Taban ölçüm raporları (eksenler, locked set, yanıt süresi)</w:t>
            </w:r>
          </w:p>
          <w:p>
            <w:pPr>
              <w:numPr>
                <w:ilvl w:val="0"/>
                <w:numId w:val="101"/>
              </w:numPr>
              <w:spacing w:before="20" w:after="20"/>
              <w:jc w:val="both"/>
            </w:pPr>
            <w:r>
              <w:rPr>
                <w:sz w:val="20"/>
                <w:szCs w:val="20"/>
              </w:rPr>
              <w:t xml:space="preserve">Ek 2-E: LoRA kapsam, derinlik ve doz deney raporları</w:t>
            </w:r>
          </w:p>
          <w:p>
            <w:pPr>
              <w:numPr>
                <w:ilvl w:val="0"/>
                <w:numId w:val="101"/>
              </w:numPr>
              <w:spacing w:before="20" w:after="20"/>
              <w:jc w:val="both"/>
            </w:pPr>
            <w:r>
              <w:rPr>
                <w:sz w:val="20"/>
                <w:szCs w:val="20"/>
              </w:rPr>
              <w:t xml:space="preserve">Ek 2-F: 26B-A4B taban ↔ ince ayar karşılaştırma raporları ve İP2 ölçüt raporu</w:t>
            </w:r>
          </w:p>
          <w:p>
            <w:pPr>
              <w:numPr>
                <w:ilvl w:val="0"/>
                <w:numId w:val="101"/>
              </w:numPr>
              <w:spacing w:before="20" w:after="20"/>
              <w:jc w:val="left"/>
            </w:pPr>
            <w:r>
              <w:rPr>
                <w:sz w:val="20"/>
                <w:szCs w:val="20"/>
              </w:rPr>
              <w:t xml:space="preserve">Ek 2-G: Model kartı (https://huggingface.co/yildirim34/birag-gemma4-26b) ve İP4'e güvenlik katmanı teslim notu</w:t>
            </w:r>
          </w:p>
          <w:p>
            <w:pPr>
              <w:numPr>
                <w:ilvl w:val="0"/>
                <w:numId w:val="101"/>
              </w:numPr>
              <w:spacing w:before="20" w:after="20"/>
              <w:jc w:val="both"/>
            </w:pPr>
            <w:r>
              <w:rPr>
                <w:sz w:val="20"/>
                <w:szCs w:val="20"/>
              </w:rPr>
              <w:t xml:space="preserve">Ek 2-H: BLEU/ROUGE referans seti, yanıt süresi ölçüm defteri ve ölçüm sonuçları</w:t>
            </w:r>
          </w:p>
          <w:p>
            <w:pPr>
              <w:keepNext/>
              <w:spacing w:before="200" w:after="60"/>
              <w:jc w:val="left"/>
            </w:pPr>
            <w:r>
              <w:rPr>
                <w:b/>
                <w:bCs/>
                <w:sz w:val="20"/>
                <w:szCs w:val="20"/>
              </w:rPr>
              <w:t xml:space="preserve">Kaynaklar</w:t>
            </w:r>
          </w:p>
          <w:p>
            <w:pPr>
              <w:numPr>
                <w:ilvl w:val="0"/>
                <w:numId w:val="101"/>
              </w:numPr>
              <w:spacing w:before="20" w:after="20"/>
              <w:jc w:val="both"/>
            </w:pPr>
            <w:r>
              <w:rPr>
                <w:sz w:val="20"/>
                <w:szCs w:val="20"/>
              </w:rPr>
              <w:t xml:space="preserve">Biderman, D. vd. (2024). LoRA learns less and forgets less. </w:t>
            </w:r>
            <w:r>
              <w:rPr>
                <w:i/>
                <w:iCs/>
                <w:sz w:val="20"/>
                <w:szCs w:val="20"/>
              </w:rPr>
              <w:t xml:space="preserve">Transactions on Machine Learning Research</w:t>
            </w:r>
            <w:r>
              <w:rPr>
                <w:sz w:val="20"/>
                <w:szCs w:val="20"/>
              </w:rPr>
              <w:t xml:space="preserve">.</w:t>
            </w:r>
          </w:p>
          <w:p>
            <w:pPr>
              <w:numPr>
                <w:ilvl w:val="0"/>
                <w:numId w:val="101"/>
              </w:numPr>
              <w:spacing w:before="20" w:after="20"/>
              <w:jc w:val="both"/>
            </w:pPr>
            <w:r>
              <w:rPr>
                <w:sz w:val="20"/>
                <w:szCs w:val="20"/>
              </w:rPr>
              <w:t xml:space="preserve">Cheng, M. vd. (2025). Sycophantic AI decreases prosocial intentions and promotes dependence. arXiv:2510.01395.</w:t>
            </w:r>
          </w:p>
          <w:p>
            <w:pPr>
              <w:numPr>
                <w:ilvl w:val="0"/>
                <w:numId w:val="101"/>
              </w:numPr>
              <w:spacing w:before="20" w:after="20"/>
              <w:jc w:val="left"/>
            </w:pPr>
            <w:r>
              <w:rPr>
                <w:sz w:val="20"/>
                <w:szCs w:val="20"/>
              </w:rPr>
              <w:t xml:space="preserve">Google DeepMind (2026). Gemma 4 model family. https://huggingface.co/google/gemma-4-26B-A4B-it</w:t>
            </w:r>
          </w:p>
          <w:p>
            <w:pPr>
              <w:numPr>
                <w:ilvl w:val="0"/>
                <w:numId w:val="101"/>
              </w:numPr>
              <w:spacing w:before="20" w:after="20"/>
              <w:jc w:val="both"/>
            </w:pPr>
            <w:r>
              <w:rPr>
                <w:sz w:val="20"/>
                <w:szCs w:val="20"/>
              </w:rPr>
              <w:t xml:space="preserve">Hsu, C.-Y., Tsai, Y.-L., Lin, C.-H., Chen, P.-Y., Yu, C.-M. ve Huang, C.-Y. (2024). Safe LoRA: The silver lining of reducing safety risks when finetuning large language models. </w:t>
            </w:r>
            <w:r>
              <w:rPr>
                <w:i/>
                <w:iCs/>
                <w:sz w:val="20"/>
                <w:szCs w:val="20"/>
              </w:rPr>
              <w:t xml:space="preserve">NeurIPS 2024</w:t>
            </w:r>
            <w:r>
              <w:rPr>
                <w:sz w:val="20"/>
                <w:szCs w:val="20"/>
              </w:rPr>
              <w:t xml:space="preserve">.</w:t>
            </w:r>
          </w:p>
          <w:p>
            <w:pPr>
              <w:numPr>
                <w:ilvl w:val="0"/>
                <w:numId w:val="101"/>
              </w:numPr>
              <w:spacing w:before="20" w:after="20"/>
              <w:jc w:val="both"/>
            </w:pPr>
            <w:r>
              <w:rPr>
                <w:sz w:val="20"/>
                <w:szCs w:val="20"/>
              </w:rPr>
              <w:t xml:space="preserve">Hu, E. J., Shen, Y., Wallis, P., Allen-Zhu, Z., Li, Y., Wang, S., Wang, L. ve Chen, W. (2022). LoRA: Low-rank adaptation of large language models. </w:t>
            </w:r>
            <w:r>
              <w:rPr>
                <w:i/>
                <w:iCs/>
                <w:sz w:val="20"/>
                <w:szCs w:val="20"/>
              </w:rPr>
              <w:t xml:space="preserve">ICLR 2022</w:t>
            </w:r>
            <w:r>
              <w:rPr>
                <w:sz w:val="20"/>
                <w:szCs w:val="20"/>
              </w:rPr>
              <w:t xml:space="preserve">.</w:t>
            </w:r>
          </w:p>
          <w:p>
            <w:pPr>
              <w:numPr>
                <w:ilvl w:val="0"/>
                <w:numId w:val="101"/>
              </w:numPr>
              <w:spacing w:before="20" w:after="20"/>
              <w:jc w:val="both"/>
            </w:pPr>
            <w:r>
              <w:rPr>
                <w:sz w:val="20"/>
                <w:szCs w:val="20"/>
              </w:rPr>
              <w:t xml:space="preserve">Lin, C.-Y. (2004). ROUGE: A package for automatic evaluation of summaries. </w:t>
            </w:r>
            <w:r>
              <w:rPr>
                <w:i/>
                <w:iCs/>
                <w:sz w:val="20"/>
                <w:szCs w:val="20"/>
              </w:rPr>
              <w:t xml:space="preserve">Text Summarization Branches Out (ACL Workshop)</w:t>
            </w:r>
            <w:r>
              <w:rPr>
                <w:sz w:val="20"/>
                <w:szCs w:val="20"/>
              </w:rPr>
              <w:t xml:space="preserve">, 74–81.</w:t>
            </w:r>
          </w:p>
          <w:p>
            <w:pPr>
              <w:numPr>
                <w:ilvl w:val="0"/>
                <w:numId w:val="101"/>
              </w:numPr>
              <w:spacing w:before="20" w:after="20"/>
              <w:jc w:val="both"/>
            </w:pPr>
            <w:r>
              <w:rPr>
                <w:sz w:val="20"/>
                <w:szCs w:val="20"/>
              </w:rPr>
              <w:t xml:space="preserve">Liu, C.-W., Lowe, R., Serban, I. V., Noseworthy, M., Charlin, L. ve Pineau, J. (2016). How NOT to evaluate your dialogue system: An empirical study of unsupervised evaluation metrics for dialogue response generation. </w:t>
            </w:r>
            <w:r>
              <w:rPr>
                <w:i/>
                <w:iCs/>
                <w:sz w:val="20"/>
                <w:szCs w:val="20"/>
              </w:rPr>
              <w:t xml:space="preserve">Proceedings of EMNLP 2016</w:t>
            </w:r>
            <w:r>
              <w:rPr>
                <w:sz w:val="20"/>
                <w:szCs w:val="20"/>
              </w:rPr>
              <w:t xml:space="preserve">, 2122–2132.</w:t>
            </w:r>
          </w:p>
          <w:p>
            <w:pPr>
              <w:numPr>
                <w:ilvl w:val="0"/>
                <w:numId w:val="101"/>
              </w:numPr>
              <w:spacing w:before="20" w:after="20"/>
              <w:jc w:val="both"/>
            </w:pPr>
            <w:r>
              <w:rPr>
                <w:sz w:val="20"/>
                <w:szCs w:val="20"/>
              </w:rPr>
              <w:t xml:space="preserve">Papineni, K., Roukos, S., Ward, T. ve Zhu, W.-J. (2002). BLEU: A method for automatic evaluation of machine translation. </w:t>
            </w:r>
            <w:r>
              <w:rPr>
                <w:i/>
                <w:iCs/>
                <w:sz w:val="20"/>
                <w:szCs w:val="20"/>
              </w:rPr>
              <w:t xml:space="preserve">Proceedings of ACL 2002</w:t>
            </w:r>
            <w:r>
              <w:rPr>
                <w:sz w:val="20"/>
                <w:szCs w:val="20"/>
              </w:rPr>
              <w:t xml:space="preserve">, 311–318.</w:t>
            </w:r>
          </w:p>
          <w:p>
            <w:pPr>
              <w:numPr>
                <w:ilvl w:val="0"/>
                <w:numId w:val="101"/>
              </w:numPr>
              <w:spacing w:before="20" w:after="20"/>
              <w:jc w:val="both"/>
            </w:pPr>
            <w:r>
              <w:rPr>
                <w:sz w:val="20"/>
                <w:szCs w:val="20"/>
              </w:rPr>
              <w:t xml:space="preserve">Qwen Team (2026). Qwen3.8 model family.</w:t>
            </w:r>
          </w:p>
          <w:p>
            <w:pPr>
              <w:numPr>
                <w:ilvl w:val="0"/>
                <w:numId w:val="101"/>
              </w:numPr>
              <w:spacing w:before="20" w:after="20"/>
              <w:jc w:val="both"/>
            </w:pPr>
            <w:r>
              <w:rPr>
                <w:sz w:val="20"/>
                <w:szCs w:val="20"/>
              </w:rPr>
              <w:t xml:space="preserve">Zhang, T., Kishore, V., Wu, F., Weinberger, K. Q. ve Artzi, Y. (2020). BERTScore: Evaluating text generation with BERT. </w:t>
            </w:r>
            <w:r>
              <w:rPr>
                <w:i/>
                <w:iCs/>
                <w:sz w:val="20"/>
                <w:szCs w:val="20"/>
              </w:rPr>
              <w:t xml:space="preserve">ICLR 2020</w:t>
            </w:r>
            <w:r>
              <w:rPr>
                <w:sz w:val="20"/>
                <w:szCs w:val="20"/>
              </w:rPr>
              <w:t xml:space="preserve">.</w:t>
            </w:r>
          </w:p>
          <w:p>
            <w:pPr>
              <w:numPr>
                <w:ilvl w:val="0"/>
                <w:numId w:val="101"/>
              </w:numPr>
              <w:spacing w:before="20" w:after="20"/>
              <w:jc w:val="both"/>
            </w:pPr>
            <w:r>
              <w:rPr>
                <w:sz w:val="20"/>
                <w:szCs w:val="20"/>
              </w:rPr>
              <w:t xml:space="preserve">Zheng, L. vd. (2023). Judging LLM-as-a-judge with MT-Bench and Chatbot Arena. </w:t>
            </w:r>
            <w:r>
              <w:rPr>
                <w:i/>
                <w:iCs/>
                <w:sz w:val="20"/>
                <w:szCs w:val="20"/>
              </w:rPr>
              <w:t xml:space="preserve">NeurIPS 2023 Datasets and Benchmarks Track</w:t>
            </w:r>
            <w:r>
              <w:rPr>
                <w:sz w:val="20"/>
                <w:szCs w:val="20"/>
              </w:rPr>
              <w:t xml:space="preserve">.</w:t>
            </w:r>
          </w:p>
          <w:p>
            <w:pPr>
              <w:spacing w:before="0" w:after="0"/>
              <w:jc w:val="both"/>
            </w:pPr>
          </w:p>
          <w:p w14:paraId="10088355" w14:textId="77777777" w:rsidR="00CA2B7D" w:rsidRPr="00D369C9" w:rsidRDefault="00CA2B7D" w:rsidP="00941186">
            <w:pPr>
              <w:numPr>
                <w:ilvl w:val="0"/>
                <w:numId w:val="202"/>
              </w:numPr>
              <w:rPr>
                <w:bCs/>
                <w:sz w:val="20"/>
                <w:szCs w:val="20"/>
              </w:rPr>
            </w:pPr>
            <w:r w:rsidRPr="00D369C9">
              <w:rPr>
                <w:b/>
                <w:bCs/>
                <w:sz w:val="20"/>
                <w:szCs w:val="20"/>
              </w:rPr>
              <w:t xml:space="preserve">İP Sonuçlarının İlgili </w:t>
            </w:r>
            <w:proofErr w:type="spellStart"/>
            <w:r w:rsidRPr="00D369C9">
              <w:rPr>
                <w:b/>
                <w:bCs/>
                <w:sz w:val="20"/>
                <w:szCs w:val="20"/>
              </w:rPr>
              <w:t>İP’nin</w:t>
            </w:r>
            <w:proofErr w:type="spellEnd"/>
            <w:r w:rsidRPr="00D369C9">
              <w:rPr>
                <w:b/>
                <w:bCs/>
                <w:sz w:val="20"/>
                <w:szCs w:val="20"/>
              </w:rPr>
              <w:t xml:space="preserve"> Başarı Ölçütleri Göz Önüne Alınarak Gerçekleşme Durumu</w:t>
            </w:r>
          </w:p>
          <w:p w14:paraId="31A30E66" w14:textId="77777777" w:rsidR="00CA2B7D" w:rsidRPr="00D369C9" w:rsidRDefault="00CA2B7D" w:rsidP="00941186">
            <w:pPr>
              <w:spacing w:before="60" w:after="60"/>
              <w:rPr>
                <w:i/>
                <w:color w:val="000000"/>
                <w:sz w:val="20"/>
                <w:szCs w:val="20"/>
              </w:rPr>
            </w:pPr>
            <w:proofErr w:type="spellStart"/>
            <w:r w:rsidRPr="0027357B">
              <w:rPr>
                <w:i/>
                <w:color w:val="000000"/>
                <w:sz w:val="18"/>
                <w:szCs w:val="20"/>
              </w:rPr>
              <w:t>İP’nin</w:t>
            </w:r>
            <w:proofErr w:type="spellEnd"/>
            <w:r w:rsidRPr="0027357B">
              <w:rPr>
                <w:i/>
                <w:color w:val="000000"/>
                <w:sz w:val="18"/>
                <w:szCs w:val="20"/>
              </w:rPr>
              <w:t xml:space="preserve"> tamamlanan rapor dönemi için gerçekleşme durumu, proje önerisinde belirlenmiş başarı ölçütleri </w:t>
            </w:r>
            <w:r w:rsidRPr="0027357B">
              <w:rPr>
                <w:i/>
                <w:sz w:val="18"/>
                <w:szCs w:val="20"/>
              </w:rPr>
              <w:t>dikkate alınarak kendi içinde ve proje bütünlüğü kapsamında bir değerlendirmesi yapılır.</w:t>
            </w:r>
          </w:p>
          <w:tbl>
            <w:tblPr>
              <w:tblW w:w="918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tblPr>
            <w:tblGrid>
              <w:gridCol w:w="1735"/>
              <w:gridCol w:w="1367"/>
              <w:gridCol w:w="3110"/>
              <w:gridCol w:w="2968"/>
            </w:tblGrid>
            <w:tr>
              <w:trPr>
                <w:cantSplit/>
                <w:tblHeader/>
              </w:trPr>
              <w:tc>
                <w:tcPr>
                  <w:tcW w:w="1735" w:type="dxa"/>
                  <w:shd w:val="clear" w:color="auto" w:fill="E7E6E6"/>
                  <w:tcMar>
                    <w:top w:w="30" w:type="dxa"/>
                    <w:bottom w:w="30" w:type="dxa"/>
                  </w:tcMar>
                  <w:vAlign w:val="center"/>
                </w:tcPr>
                <w:p>
                  <w:pPr>
                    <w:spacing w:before="0" w:after="0"/>
                    <w:jc w:val="left"/>
                  </w:pPr>
                  <w:r>
                    <w:rPr>
                      <w:b/>
                      <w:bCs/>
                      <w:sz w:val="17"/>
                      <w:szCs w:val="17"/>
                    </w:rPr>
                    <w:t xml:space="preserve">Başarı ölçütü (öneri formu)</w:t>
                  </w:r>
                </w:p>
              </w:tc>
              <w:tc>
                <w:tcPr>
                  <w:tcW w:w="1367" w:type="dxa"/>
                  <w:shd w:val="clear" w:color="auto" w:fill="E7E6E6"/>
                  <w:tcMar>
                    <w:top w:w="30" w:type="dxa"/>
                    <w:bottom w:w="30" w:type="dxa"/>
                  </w:tcMar>
                  <w:vAlign w:val="center"/>
                </w:tcPr>
                <w:p>
                  <w:pPr>
                    <w:spacing w:before="0" w:after="0"/>
                    <w:jc w:val="left"/>
                  </w:pPr>
                  <w:r>
                    <w:rPr>
                      <w:b/>
                      <w:bCs/>
                      <w:sz w:val="17"/>
                      <w:szCs w:val="17"/>
                    </w:rPr>
                    <w:t xml:space="preserve">Hedef</w:t>
                  </w:r>
                </w:p>
              </w:tc>
              <w:tc>
                <w:tcPr>
                  <w:tcW w:w="3110" w:type="dxa"/>
                  <w:shd w:val="clear" w:color="auto" w:fill="E7E6E6"/>
                  <w:tcMar>
                    <w:top w:w="30" w:type="dxa"/>
                    <w:bottom w:w="30" w:type="dxa"/>
                  </w:tcMar>
                  <w:vAlign w:val="center"/>
                </w:tcPr>
                <w:p>
                  <w:pPr>
                    <w:spacing w:before="0" w:after="0"/>
                    <w:jc w:val="left"/>
                  </w:pPr>
                  <w:r>
                    <w:rPr>
                      <w:b/>
                      <w:bCs/>
                      <w:sz w:val="17"/>
                      <w:szCs w:val="17"/>
                    </w:rPr>
                    <w:t xml:space="preserve">Gerçekleşen</w:t>
                  </w:r>
                </w:p>
              </w:tc>
              <w:tc>
                <w:tcPr>
                  <w:tcW w:w="2968" w:type="dxa"/>
                  <w:shd w:val="clear" w:color="auto" w:fill="E7E6E6"/>
                  <w:tcMar>
                    <w:top w:w="30" w:type="dxa"/>
                    <w:bottom w:w="30" w:type="dxa"/>
                  </w:tcMar>
                  <w:vAlign w:val="center"/>
                </w:tcPr>
                <w:p>
                  <w:pPr>
                    <w:spacing w:before="0" w:after="0"/>
                    <w:jc w:val="left"/>
                  </w:pPr>
                  <w:r>
                    <w:rPr>
                      <w:b/>
                      <w:bCs/>
                      <w:sz w:val="17"/>
                      <w:szCs w:val="17"/>
                    </w:rPr>
                    <w:t xml:space="preserve">Durum</w:t>
                  </w:r>
                </w:p>
              </w:tc>
            </w:tr>
            <w:tr>
              <w:trPr>
                <w:cantSplit/>
              </w:trPr>
              <w:tc>
                <w:tcPr>
                  <w:tcW w:w="1735" w:type="dxa"/>
                  <w:tcMar>
                    <w:top w:w="30" w:type="dxa"/>
                    <w:bottom w:w="30" w:type="dxa"/>
                  </w:tcMar>
                  <w:vAlign w:val="center"/>
                </w:tcPr>
                <w:p>
                  <w:pPr>
                    <w:spacing w:before="0" w:after="0"/>
                    <w:jc w:val="left"/>
                  </w:pPr>
                  <w:r>
                    <w:rPr>
                      <w:sz w:val="17"/>
                      <w:szCs w:val="17"/>
                    </w:rPr>
                    <w:t xml:space="preserve">Doğruluk</w:t>
                  </w:r>
                </w:p>
              </w:tc>
              <w:tc>
                <w:tcPr>
                  <w:tcW w:w="1367" w:type="dxa"/>
                  <w:tcMar>
                    <w:top w:w="30" w:type="dxa"/>
                    <w:bottom w:w="30" w:type="dxa"/>
                  </w:tcMar>
                  <w:vAlign w:val="center"/>
                </w:tcPr>
                <w:p>
                  <w:pPr>
                    <w:spacing w:before="0" w:after="0"/>
                    <w:jc w:val="left"/>
                  </w:pPr>
                  <w:r>
                    <w:rPr>
                      <w:sz w:val="17"/>
                      <w:szCs w:val="17"/>
                    </w:rPr>
                    <w:t xml:space="preserve">&gt; %90</w:t>
                  </w:r>
                </w:p>
              </w:tc>
              <w:tc>
                <w:tcPr>
                  <w:tcW w:w="3110" w:type="dxa"/>
                  <w:tcMar>
                    <w:top w:w="30" w:type="dxa"/>
                    <w:bottom w:w="30" w:type="dxa"/>
                  </w:tcMar>
                  <w:vAlign w:val="center"/>
                </w:tcPr>
                <w:p>
                  <w:pPr>
                    <w:spacing w:before="0" w:after="0"/>
                    <w:jc w:val="left"/>
                  </w:pPr>
                  <w:r>
                    <w:rPr>
                      <w:sz w:val="17"/>
                      <w:szCs w:val="17"/>
                    </w:rPr>
                    <w:t xml:space="preserve">Kural uyumu proxy'si: golden setlerde %97,9, tüm terapötik setlerde %85,7. İnsan ve judge değerlendirmesinde taban üstün</w:t>
                  </w:r>
                </w:p>
              </w:tc>
              <w:tc>
                <w:tcPr>
                  <w:tcW w:w="2968" w:type="dxa"/>
                  <w:tcMar>
                    <w:top w:w="30" w:type="dxa"/>
                    <w:bottom w:w="30" w:type="dxa"/>
                  </w:tcMar>
                  <w:vAlign w:val="center"/>
                </w:tcPr>
                <w:p>
                  <w:pPr>
                    <w:spacing w:before="0" w:after="0"/>
                    <w:jc w:val="left"/>
                  </w:pPr>
                  <w:r>
                    <w:rPr>
                      <w:sz w:val="17"/>
                      <w:szCs w:val="17"/>
                    </w:rPr>
                    <w:t xml:space="preserve">Proxy'de karşılandı; kalitede karşılanmadı</w:t>
                  </w:r>
                </w:p>
              </w:tc>
            </w:tr>
            <w:tr>
              <w:trPr>
                <w:cantSplit/>
              </w:trPr>
              <w:tc>
                <w:tcPr>
                  <w:tcW w:w="1735" w:type="dxa"/>
                  <w:tcMar>
                    <w:top w:w="30" w:type="dxa"/>
                    <w:bottom w:w="30" w:type="dxa"/>
                  </w:tcMar>
                  <w:vAlign w:val="center"/>
                </w:tcPr>
                <w:p>
                  <w:pPr>
                    <w:spacing w:before="0" w:after="0"/>
                    <w:jc w:val="left"/>
                  </w:pPr>
                  <w:r>
                    <w:rPr>
                      <w:sz w:val="17"/>
                      <w:szCs w:val="17"/>
                    </w:rPr>
                    <w:t xml:space="preserve">Uzman memnuniyeti</w:t>
                  </w:r>
                </w:p>
              </w:tc>
              <w:tc>
                <w:tcPr>
                  <w:tcW w:w="1367" w:type="dxa"/>
                  <w:tcMar>
                    <w:top w:w="30" w:type="dxa"/>
                    <w:bottom w:w="30" w:type="dxa"/>
                  </w:tcMar>
                  <w:vAlign w:val="center"/>
                </w:tcPr>
                <w:p>
                  <w:pPr>
                    <w:spacing w:before="0" w:after="0"/>
                    <w:jc w:val="left"/>
                  </w:pPr>
                  <w:r>
                    <w:rPr>
                      <w:sz w:val="17"/>
                      <w:szCs w:val="17"/>
                    </w:rPr>
                    <w:t xml:space="preserve">%85</w:t>
                  </w:r>
                </w:p>
              </w:tc>
              <w:tc>
                <w:tcPr>
                  <w:tcW w:w="3110" w:type="dxa"/>
                  <w:tcMar>
                    <w:top w:w="30" w:type="dxa"/>
                    <w:bottom w:w="30" w:type="dxa"/>
                  </w:tcMar>
                  <w:vAlign w:val="center"/>
                </w:tcPr>
                <w:p>
                  <w:pPr>
                    <w:spacing w:before="0" w:after="0"/>
                    <w:jc w:val="left"/>
                  </w:pPr>
                  <w:r>
                    <w:rPr>
                      <w:sz w:val="17"/>
                      <w:szCs w:val="17"/>
                    </w:rPr>
                    <w:t xml:space="preserve">İnce ayarlı model için uzman turu yapılmadı; ekip değerlendirmesi 26–8 taban lehine</w:t>
                  </w:r>
                </w:p>
              </w:tc>
              <w:tc>
                <w:tcPr>
                  <w:tcW w:w="2968" w:type="dxa"/>
                  <w:tcMar>
                    <w:top w:w="30" w:type="dxa"/>
                    <w:bottom w:w="30" w:type="dxa"/>
                  </w:tcMar>
                  <w:vAlign w:val="center"/>
                </w:tcPr>
                <w:p>
                  <w:pPr>
                    <w:spacing w:before="0" w:after="0"/>
                    <w:jc w:val="left"/>
                  </w:pPr>
                  <w:r>
                    <w:rPr>
                      <w:sz w:val="17"/>
                      <w:szCs w:val="17"/>
                    </w:rPr>
                    <w:t xml:space="preserve">Karşılanmadı</w:t>
                  </w:r>
                </w:p>
              </w:tc>
            </w:tr>
            <w:tr>
              <w:trPr>
                <w:cantSplit/>
              </w:trPr>
              <w:tc>
                <w:tcPr>
                  <w:tcW w:w="1735" w:type="dxa"/>
                  <w:tcMar>
                    <w:top w:w="30" w:type="dxa"/>
                    <w:bottom w:w="30" w:type="dxa"/>
                  </w:tcMar>
                  <w:vAlign w:val="center"/>
                </w:tcPr>
                <w:p>
                  <w:pPr>
                    <w:spacing w:before="0" w:after="0"/>
                    <w:jc w:val="left"/>
                  </w:pPr>
                  <w:r>
                    <w:rPr>
                      <w:sz w:val="17"/>
                      <w:szCs w:val="17"/>
                    </w:rPr>
                    <w:t xml:space="preserve">BLEU / ROUGE</w:t>
                  </w:r>
                </w:p>
              </w:tc>
              <w:tc>
                <w:tcPr>
                  <w:tcW w:w="1367" w:type="dxa"/>
                  <w:tcMar>
                    <w:top w:w="30" w:type="dxa"/>
                    <w:bottom w:w="30" w:type="dxa"/>
                  </w:tcMar>
                  <w:vAlign w:val="center"/>
                </w:tcPr>
                <w:p>
                  <w:pPr>
                    <w:spacing w:before="0" w:after="0"/>
                    <w:jc w:val="left"/>
                  </w:pPr>
                  <w:r>
                    <w:rPr>
                      <w:sz w:val="17"/>
                      <w:szCs w:val="17"/>
                    </w:rPr>
                    <w:t xml:space="preserve">&gt; %80</w:t>
                  </w:r>
                </w:p>
              </w:tc>
              <w:tc>
                <w:tcPr>
                  <w:tcW w:w="3110" w:type="dxa"/>
                  <w:tcMar>
                    <w:top w:w="30" w:type="dxa"/>
                    <w:bottom w:w="30" w:type="dxa"/>
                  </w:tcMar>
                  <w:vAlign w:val="center"/>
                </w:tcPr>
                <w:p>
                  <w:pPr>
                    <w:spacing w:before="0" w:after="0"/>
                    <w:jc w:val="left"/>
                  </w:pPr>
                  <w:r>
                    <w:rPr>
                      <w:sz w:val="17"/>
                      <w:szCs w:val="17"/>
                    </w:rPr>
                    <w:t xml:space="preserve">İnce ayarlı: BLEU 5,1, ROUGE-L 16,3, chrF 33,2, BERTScore 69,6 (taban 0,4 / 8,8 / 14,6 / 55,2). Ölçütün yeniden tanımı yürütücü onayında</w:t>
                  </w:r>
                </w:p>
              </w:tc>
              <w:tc>
                <w:tcPr>
                  <w:tcW w:w="2968" w:type="dxa"/>
                  <w:tcMar>
                    <w:top w:w="30" w:type="dxa"/>
                    <w:bottom w:w="30" w:type="dxa"/>
                  </w:tcMar>
                  <w:vAlign w:val="center"/>
                </w:tcPr>
                <w:p>
                  <w:pPr>
                    <w:spacing w:before="0" w:after="0"/>
                    <w:jc w:val="left"/>
                  </w:pPr>
                  <w:r>
                    <w:rPr>
                      <w:sz w:val="17"/>
                      <w:szCs w:val="17"/>
                    </w:rPr>
                    <w:t xml:space="preserve">Karşılanmadı</w:t>
                  </w:r>
                </w:p>
              </w:tc>
            </w:tr>
            <w:tr>
              <w:trPr>
                <w:cantSplit/>
              </w:trPr>
              <w:tc>
                <w:tcPr>
                  <w:tcW w:w="1735" w:type="dxa"/>
                  <w:tcMar>
                    <w:top w:w="30" w:type="dxa"/>
                    <w:bottom w:w="30" w:type="dxa"/>
                  </w:tcMar>
                  <w:vAlign w:val="center"/>
                </w:tcPr>
                <w:p>
                  <w:pPr>
                    <w:spacing w:before="0" w:after="0"/>
                    <w:jc w:val="left"/>
                  </w:pPr>
                  <w:r>
                    <w:rPr>
                      <w:sz w:val="17"/>
                      <w:szCs w:val="17"/>
                    </w:rPr>
                    <w:t xml:space="preserve">Yanıt süresi</w:t>
                  </w:r>
                </w:p>
              </w:tc>
              <w:tc>
                <w:tcPr>
                  <w:tcW w:w="1367" w:type="dxa"/>
                  <w:tcMar>
                    <w:top w:w="30" w:type="dxa"/>
                    <w:bottom w:w="30" w:type="dxa"/>
                  </w:tcMar>
                  <w:vAlign w:val="center"/>
                </w:tcPr>
                <w:p>
                  <w:pPr>
                    <w:spacing w:before="0" w:after="0"/>
                    <w:jc w:val="left"/>
                  </w:pPr>
                  <w:r>
                    <w:rPr>
                      <w:sz w:val="17"/>
                      <w:szCs w:val="17"/>
                    </w:rPr>
                    <w:t xml:space="preserve">&lt; 2 sn</w:t>
                  </w:r>
                </w:p>
              </w:tc>
              <w:tc>
                <w:tcPr>
                  <w:tcW w:w="3110" w:type="dxa"/>
                  <w:tcMar>
                    <w:top w:w="30" w:type="dxa"/>
                    <w:bottom w:w="30" w:type="dxa"/>
                  </w:tcMar>
                  <w:vAlign w:val="center"/>
                </w:tcPr>
                <w:p>
                  <w:pPr>
                    <w:spacing w:before="0" w:after="0"/>
                    <w:jc w:val="left"/>
                  </w:pPr>
                  <w:r>
                    <w:rPr>
                      <w:sz w:val="17"/>
                      <w:szCs w:val="17"/>
                    </w:rPr>
                    <w:t xml:space="preserve">İlk token ~0,5 sn; thinking kapalıyken görünen cevap 0,62 sn'de başlıyor, toplam ortanca 14,5 sn (thinking açık 39,9 sn, taban 164,6 sn). HF generate, ~7 token/sn</w:t>
                  </w:r>
                </w:p>
              </w:tc>
              <w:tc>
                <w:tcPr>
                  <w:tcW w:w="2968" w:type="dxa"/>
                  <w:tcMar>
                    <w:top w:w="30" w:type="dxa"/>
                    <w:bottom w:w="30" w:type="dxa"/>
                  </w:tcMar>
                  <w:vAlign w:val="center"/>
                </w:tcPr>
                <w:p>
                  <w:pPr>
                    <w:spacing w:before="0" w:after="0"/>
                    <w:jc w:val="left"/>
                  </w:pPr>
                  <w:r>
                    <w:rPr>
                      <w:sz w:val="17"/>
                      <w:szCs w:val="17"/>
                    </w:rPr>
                    <w:t xml:space="preserve">Akışlı başlangıçta karşılandı; toplam sürede karşılanmadı</w:t>
                  </w:r>
                </w:p>
              </w:tc>
            </w:tr>
            <w:tr>
              <w:trPr>
                <w:cantSplit/>
              </w:trPr>
              <w:tc>
                <w:tcPr>
                  <w:tcW w:w="1735" w:type="dxa"/>
                  <w:tcMar>
                    <w:top w:w="30" w:type="dxa"/>
                    <w:bottom w:w="30" w:type="dxa"/>
                  </w:tcMar>
                  <w:vAlign w:val="center"/>
                </w:tcPr>
                <w:p>
                  <w:pPr>
                    <w:spacing w:before="0" w:after="0"/>
                    <w:jc w:val="left"/>
                  </w:pPr>
                  <w:r>
                    <w:rPr>
                      <w:sz w:val="17"/>
                      <w:szCs w:val="17"/>
                    </w:rPr>
                    <w:t xml:space="preserve">Kullanıcı geribildirimi</w:t>
                  </w:r>
                </w:p>
              </w:tc>
              <w:tc>
                <w:tcPr>
                  <w:tcW w:w="1367" w:type="dxa"/>
                  <w:tcMar>
                    <w:top w:w="30" w:type="dxa"/>
                    <w:bottom w:w="30" w:type="dxa"/>
                  </w:tcMar>
                  <w:vAlign w:val="center"/>
                </w:tcPr>
                <w:p>
                  <w:pPr>
                    <w:spacing w:before="0" w:after="0"/>
                    <w:jc w:val="left"/>
                  </w:pPr>
                  <w:r>
                    <w:rPr>
                      <w:sz w:val="17"/>
                      <w:szCs w:val="17"/>
                    </w:rPr>
                    <w:t xml:space="preserve">%90 olumlu</w:t>
                  </w:r>
                </w:p>
              </w:tc>
              <w:tc>
                <w:tcPr>
                  <w:tcW w:w="3110" w:type="dxa"/>
                  <w:tcMar>
                    <w:top w:w="30" w:type="dxa"/>
                    <w:bottom w:w="30" w:type="dxa"/>
                  </w:tcMar>
                  <w:vAlign w:val="center"/>
                </w:tcPr>
                <w:p>
                  <w:pPr>
                    <w:spacing w:before="0" w:after="0"/>
                    <w:jc w:val="left"/>
                  </w:pPr>
                  <w:r>
                    <w:rPr>
                      <w:sz w:val="17"/>
                      <w:szCs w:val="17"/>
                    </w:rPr>
                    <w:t xml:space="preserve">Kullanıcı pilotu İP5 kapsamında</w:t>
                  </w:r>
                </w:p>
              </w:tc>
              <w:tc>
                <w:tcPr>
                  <w:tcW w:w="2968" w:type="dxa"/>
                  <w:tcMar>
                    <w:top w:w="30" w:type="dxa"/>
                    <w:bottom w:w="30" w:type="dxa"/>
                  </w:tcMar>
                  <w:vAlign w:val="center"/>
                </w:tcPr>
                <w:p>
                  <w:pPr>
                    <w:spacing w:before="0" w:after="0"/>
                    <w:jc w:val="left"/>
                  </w:pPr>
                  <w:r>
                    <w:rPr>
                      <w:sz w:val="17"/>
                      <w:szCs w:val="17"/>
                    </w:rPr>
                    <w:t xml:space="preserve">Dönemi gelmedi</w:t>
                  </w:r>
                </w:p>
              </w:tc>
            </w:tr>
            <w:tr>
              <w:trPr>
                <w:cantSplit/>
              </w:trPr>
              <w:tc>
                <w:tcPr>
                  <w:tcW w:w="1735" w:type="dxa"/>
                  <w:tcMar>
                    <w:top w:w="30" w:type="dxa"/>
                    <w:bottom w:w="30" w:type="dxa"/>
                  </w:tcMar>
                  <w:vAlign w:val="center"/>
                </w:tcPr>
                <w:p>
                  <w:pPr>
                    <w:spacing w:before="0" w:after="0"/>
                    <w:jc w:val="left"/>
                  </w:pPr>
                  <w:r>
                    <w:rPr>
                      <w:sz w:val="17"/>
                      <w:szCs w:val="17"/>
                    </w:rPr>
                    <w:t xml:space="preserve">Etik ve güvenlik</w:t>
                  </w:r>
                </w:p>
              </w:tc>
              <w:tc>
                <w:tcPr>
                  <w:tcW w:w="1367" w:type="dxa"/>
                  <w:tcMar>
                    <w:top w:w="30" w:type="dxa"/>
                    <w:bottom w:w="30" w:type="dxa"/>
                  </w:tcMar>
                  <w:vAlign w:val="center"/>
                </w:tcPr>
                <w:p>
                  <w:pPr>
                    <w:spacing w:before="0" w:after="0"/>
                    <w:jc w:val="left"/>
                  </w:pPr>
                  <w:r>
                    <w:rPr>
                      <w:sz w:val="17"/>
                      <w:szCs w:val="17"/>
                    </w:rPr>
                    <w:t xml:space="preserve">%100 etik, ≈ %0 zararlı</w:t>
                  </w:r>
                </w:p>
              </w:tc>
              <w:tc>
                <w:tcPr>
                  <w:tcW w:w="3110" w:type="dxa"/>
                  <w:tcMar>
                    <w:top w:w="30" w:type="dxa"/>
                    <w:bottom w:w="30" w:type="dxa"/>
                  </w:tcMar>
                  <w:vAlign w:val="center"/>
                </w:tcPr>
                <w:p>
                  <w:pPr>
                    <w:spacing w:before="0" w:after="0"/>
                    <w:jc w:val="left"/>
                  </w:pPr>
                  <w:r>
                    <w:rPr>
                      <w:sz w:val="17"/>
                      <w:szCs w:val="17"/>
                    </w:rPr>
                    <w:t xml:space="preserve">Zararlı yanıt adayı %6,8 (taban %4,7); 15 risk öğesinin 4'ünde yönlendirme kaybı</w:t>
                  </w:r>
                </w:p>
              </w:tc>
              <w:tc>
                <w:tcPr>
                  <w:tcW w:w="2968" w:type="dxa"/>
                  <w:tcMar>
                    <w:top w:w="30" w:type="dxa"/>
                    <w:bottom w:w="30" w:type="dxa"/>
                  </w:tcMar>
                  <w:vAlign w:val="center"/>
                </w:tcPr>
                <w:p>
                  <w:pPr>
                    <w:spacing w:before="0" w:after="0"/>
                    <w:jc w:val="left"/>
                  </w:pPr>
                  <w:r>
                    <w:rPr>
                      <w:sz w:val="17"/>
                      <w:szCs w:val="17"/>
                    </w:rPr>
                    <w:t xml:space="preserve">Karşılanmadı</w:t>
                  </w:r>
                </w:p>
              </w:tc>
            </w:tr>
          </w:tbl>
          <w:p>
            <w:pPr>
              <w:spacing w:before="0" w:after="0"/>
              <w:jc w:val="both"/>
            </w:pPr>
          </w:p>
          <w:p>
            <w:pPr>
              <w:spacing w:before="0" w:after="100"/>
              <w:jc w:val="left"/>
            </w:pPr>
            <w:r>
              <w:rPr>
                <w:i/>
                <w:iCs/>
                <w:sz w:val="17"/>
                <w:szCs w:val="17"/>
              </w:rPr>
              <w:t xml:space="preserve">Tablo 9. İP2 başarı ölçütlerinin gerçekleşme durumu (26B-A4B keşif koşusu). Kaynak: </w:t>
            </w:r>
            <w:r>
              <w:rPr>
                <w:rFonts w:ascii="Consolas" w:hAnsi="Consolas" w:cs="Consolas"/>
                <w:i/>
                <w:iCs/>
                <w:sz w:val="15"/>
                <w:szCs w:val="15"/>
              </w:rPr>
              <w:t xml:space="preserve">reports/analiz/2026-10-20-ip2-olcutler.md</w:t>
            </w:r>
            <w:r>
              <w:rPr>
                <w:i/>
                <w:iCs/>
                <w:sz w:val="17"/>
                <w:szCs w:val="17"/>
              </w:rPr>
              <w:t xml:space="preserve"> · </w:t>
            </w:r>
            <w:r>
              <w:rPr>
                <w:rFonts w:ascii="Consolas" w:hAnsi="Consolas" w:cs="Consolas"/>
                <w:i/>
                <w:iCs/>
                <w:sz w:val="15"/>
                <w:szCs w:val="15"/>
              </w:rPr>
              <w:t xml:space="preserve">reports/analiz/2026-10-20-taban-vs-ince-basit-inceleme.md</w:t>
            </w:r>
            <w:r>
              <w:rPr>
                <w:i/>
                <w:iCs/>
                <w:sz w:val="17"/>
                <w:szCs w:val="17"/>
              </w:rPr>
              <w:t xml:space="preserve"> · </w:t>
            </w:r>
            <w:r>
              <w:rPr>
                <w:rFonts w:ascii="Consolas" w:hAnsi="Consolas" w:cs="Consolas"/>
                <w:i/>
                <w:iCs/>
                <w:sz w:val="15"/>
                <w:szCs w:val="15"/>
              </w:rPr>
              <w:t xml:space="preserve">reports/analiz/2026-10-20-rapor-bleu-gecikme.md</w:t>
            </w:r>
            <w:r>
              <w:rPr>
                <w:i/>
                <w:iCs/>
                <w:sz w:val="17"/>
                <w:szCs w:val="17"/>
              </w:rPr>
              <w:t xml:space="preserve">.</w:t>
            </w:r>
          </w:p>
          <w:p>
            <w:pPr>
              <w:spacing w:before="60" w:after="60"/>
              <w:jc w:val="both"/>
            </w:pPr>
            <w:r>
              <w:rPr>
                <w:sz w:val="20"/>
                <w:szCs w:val="20"/>
              </w:rPr>
              <w:t xml:space="preserve">Altyapıya yönelik hedefler gerçekleşti. Model ailesi seçildi, yerel ve bulut eğitim hattı kuruldu, beş eksenli değerlendirme sistemi ve pre-registration düzeni işletildi, üretim adayı model ince ayarlandı. Türkçe için iyileştirme hedefi de karşılandı: thinking %100 Türkçeye döndü ve ortanca uzunluğu 583 sözcükten 90 sözcüğe indi. Thinking'in kısalması, kullanıcının cevabı görmeye başlamadan önce beklediği ortanca süreyi 158,5 saniyeden 29,0 saniyeye indirdi.</w:t>
            </w:r>
          </w:p>
          <w:p>
            <w:pPr>
              <w:spacing w:before="60" w:after="60"/>
              <w:jc w:val="both"/>
            </w:pPr>
            <w:r>
              <w:rPr>
                <w:sz w:val="20"/>
                <w:szCs w:val="20"/>
              </w:rPr>
              <w:t xml:space="preserve">Öneri formundaki kalite ve güvenlik ölçütleri ise bu dönem karşılanmadı. BLEU/ROUGE %80 hedefinin de altında kalındı; serbest diyalogda bu düzey beklenmediği için ölçütün yeniden tanımlanmasını öneriyoruz. Yanıt süresinde cevap 0,62 saniyede başlıyor ama tamamı bu ortamda 2 saniyeyi aşıyor. İnce ayarlı model kurallara daha iyi uyuyor, ama insan değerlendiricilere daha mekanik geliyor ve kriz yönlendirmesinde tabanın gerisinde kalıyor. Kontrollü deneyler gerilemenin eğitim yönteminden ya da LoRA ayarlarından kaynaklanmadığını gösterdi. Sorun veri kümesinin içeriğinde: kriz dilimi yok ve abartılı sınır kalıpları fazla. Neyin düzeltileceği bu sayede belli.</w:t>
            </w:r>
          </w:p>
          <w:p>
            <w:pPr>
              <w:spacing w:before="60" w:after="60"/>
              <w:jc w:val="both"/>
            </w:pPr>
            <w:r>
              <w:rPr>
                <w:sz w:val="20"/>
                <w:szCs w:val="20"/>
              </w:rPr>
              <w:t xml:space="preserve">Sonraki dönem için planımız:</w:t>
            </w:r>
          </w:p>
          <w:p>
            <w:pPr>
              <w:numPr>
                <w:ilvl w:val="0"/>
                <w:numId w:val="204"/>
              </w:numPr>
              <w:spacing w:before="20" w:after="20"/>
              <w:jc w:val="both"/>
            </w:pPr>
            <w:r>
              <w:rPr>
                <w:sz w:val="20"/>
                <w:szCs w:val="20"/>
              </w:rPr>
              <w:t xml:space="preserve">Uzman ve etik kurul onayıyla kriz dilimini üretmek ve ince ayara eklemek (İP1 ile birlikte).</w:t>
            </w:r>
          </w:p>
          <w:p>
            <w:pPr>
              <w:numPr>
                <w:ilvl w:val="0"/>
                <w:numId w:val="204"/>
              </w:numPr>
              <w:spacing w:before="20" w:after="20"/>
              <w:jc w:val="both"/>
            </w:pPr>
            <w:r>
              <w:rPr>
                <w:sz w:val="20"/>
                <w:szCs w:val="20"/>
              </w:rPr>
              <w:t xml:space="preserve">Ölçek-5k veri kümesiyle yeniden eğitmek. Bu kümenin kalibrasyonunda "…yazdın / dedin", "katılmıyorum" ve "benim işim değil" kalıplarının oranı %0.</w:t>
            </w:r>
          </w:p>
          <w:p>
            <w:pPr>
              <w:numPr>
                <w:ilvl w:val="0"/>
                <w:numId w:val="204"/>
              </w:numPr>
              <w:spacing w:before="20" w:after="20"/>
              <w:jc w:val="both"/>
            </w:pPr>
            <w:r>
              <w:rPr>
                <w:sz w:val="20"/>
                <w:szCs w:val="20"/>
              </w:rPr>
              <w:t xml:space="preserve">Yanıt süresini vLLM gibi bir üretim sunucusunda ve quantization ile yeniden ölçmek; thinking'in açık mı kapalı mı kullanılacağına İP4 ile birlikte karar vermek.</w:t>
            </w:r>
          </w:p>
          <w:p>
            <w:pPr>
              <w:numPr>
                <w:ilvl w:val="0"/>
                <w:numId w:val="204"/>
              </w:numPr>
              <w:spacing w:before="20" w:after="20"/>
              <w:jc w:val="both"/>
            </w:pPr>
            <w:r>
              <w:rPr>
                <w:sz w:val="20"/>
                <w:szCs w:val="20"/>
              </w:rPr>
              <w:t xml:space="preserve">İnce ayarlı model için klinik uzman değerlendirme turu yapmak.</w:t>
            </w:r>
          </w:p>
          <w:p>
            <w:pPr>
              <w:numPr>
                <w:ilvl w:val="0"/>
                <w:numId w:val="204"/>
              </w:numPr>
              <w:spacing w:before="20" w:after="20"/>
              <w:jc w:val="both"/>
            </w:pPr>
            <w:r>
              <w:rPr>
                <w:sz w:val="20"/>
                <w:szCs w:val="20"/>
              </w:rPr>
              <w:t xml:space="preserve">26B karşılaştırmasını pre-registration ile mühürlü olarak tekrarlamak; 12B transfer kontrolünü ve Qwen3.8-27B genelleme kontrolünü yapmak.</w:t>
            </w:r>
          </w:p>
          <w:p>
            <w:pPr>
              <w:numPr>
                <w:ilvl w:val="0"/>
                <w:numId w:val="204"/>
              </w:numPr>
              <w:spacing w:before="20" w:after="20"/>
              <w:jc w:val="both"/>
            </w:pPr>
            <w:r>
              <w:rPr>
                <w:sz w:val="20"/>
                <w:szCs w:val="20"/>
              </w:rPr>
              <w:t xml:space="preserve">SFT'nin çözemediği hata kalıpları için ORPO kararını vermek.</w:t>
            </w:r>
          </w:p>
          <w:p>
            <w:pPr>
              <w:spacing w:before="60" w:after="60"/>
              <w:jc w:val="both"/>
            </w:pPr>
            <w:r>
              <w:rPr>
                <w:sz w:val="20"/>
                <w:szCs w:val="20"/>
              </w:rPr>
              <w:t xml:space="preserve">Model dışı güvenlik katmanı gerekliliği İP4'e iletildi. Context fidelity ekseni İP3'ün RAG modülüyle birlikte ölçülecek.</w:t>
            </w:r>
          </w:p>
          <w:p>
            <w:pPr>
              <w:spacing w:before="0" w:after="0"/>
              <w:jc w:val="both"/>
            </w:pPr>
          </w:p>
        </w:tc>
      </w:tr>
    </w:tbl>
    <w:p w14:paraId="7FDE2549" w14:textId="77777777" w:rsidR="00CA2B7D" w:rsidRDefault="00CA2B7D"/>
    <w:sectPr w:rsidR="00CA2B7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14420E"/>
    <w:multiLevelType w:val="hybridMultilevel"/>
    <w:tmpl w:val="AC860D8A"/>
    <w:lvl w:ilvl="0" w:tplc="B6403EA0">
      <w:start w:val="1"/>
      <w:numFmt w:val="lowerLetter"/>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49434E63"/>
    <w:multiLevelType w:val="hybridMultilevel"/>
    <w:tmpl w:val="AC860D8A"/>
    <w:lvl w:ilvl="0" w:tplc="B6403EA0">
      <w:start w:val="1"/>
      <w:numFmt w:val="lowerLetter"/>
      <w:lvlText w:val="%1)"/>
      <w:lvlJc w:val="left"/>
      <w:pPr>
        <w:ind w:left="420" w:hanging="360"/>
      </w:pPr>
      <w:rPr>
        <w:rFonts w:hint="default"/>
        <w:b/>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90">
    <w:multiLevelType w:val="singleLevel"/>
    <w:lvl w:ilvl="0">
      <w:start w:val="1"/>
      <w:numFmt w:val="bullet"/>
      <w:lvlText w:val="•"/>
      <w:lvlJc w:val="left"/>
      <w:pPr>
        <w:ind w:left="567" w:hanging="283"/>
      </w:pPr>
      <w:rPr>
        <w:rFonts w:ascii="Arial" w:hAnsi="Arial"/>
      </w:rPr>
    </w:lvl>
  </w:abstractNum>
  <w:abstractNum w:abstractNumId="91">
    <w:multiLevelType w:val="singleLevel"/>
    <w:lvl w:ilvl="0">
      <w:start w:val="1"/>
      <w:numFmt w:val="decimal"/>
      <w:lvlText w:val="%1."/>
      <w:lvlJc w:val="left"/>
      <w:pPr>
        <w:ind w:left="567" w:hanging="340"/>
      </w:pPr>
    </w:lvl>
  </w:abstractNum>
  <w:num w:numId="1" w16cid:durableId="1574466554">
    <w:abstractNumId w:val="1"/>
  </w:num>
  <w:num w:numId="2" w16cid:durableId="895703607">
    <w:abstractNumId w:val="0"/>
  </w:num>
  <w:num w:numId="101">
    <w:abstractNumId w:val="90"/>
  </w:num>
  <w:num w:numId="201">
    <w:abstractNumId w:val="91"/>
    <w:lvlOverride w:ilvl="0">
      <w:startOverride w:val="1"/>
    </w:lvlOverride>
  </w:num>
  <w:num w:numId="202">
    <w:abstractNumId w:val="1"/>
    <w:lvlOverride w:ilvl="0">
      <w:startOverride w:val="1"/>
    </w:lvlOverride>
  </w:num>
  <w:num w:numId="203">
    <w:abstractNumId w:val="91"/>
    <w:lvlOverride w:ilvl="0">
      <w:startOverride w:val="1"/>
    </w:lvlOverride>
  </w:num>
  <w:num w:numId="204">
    <w:abstractNumId w:val="9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7D"/>
    <w:rsid w:val="00131044"/>
    <w:rsid w:val="00262058"/>
    <w:rsid w:val="00CA2B7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E2F7B67"/>
  <w15:chartTrackingRefBased/>
  <w15:docId w15:val="{EB94D61B-EFBA-0C4D-9604-31CEE7CEC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B7D"/>
    <w:pPr>
      <w:suppressAutoHyphens/>
      <w:overflowPunct w:val="0"/>
      <w:autoSpaceDE w:val="0"/>
      <w:autoSpaceDN w:val="0"/>
      <w:adjustRightInd w:val="0"/>
      <w:spacing w:after="0" w:line="240" w:lineRule="auto"/>
      <w:jc w:val="both"/>
      <w:textAlignment w:val="baseline"/>
    </w:pPr>
    <w:rPr>
      <w:rFonts w:ascii="Arial" w:eastAsia="Times New Roman" w:hAnsi="Arial" w:cs="Arial"/>
      <w:kern w:val="0"/>
      <w:sz w:val="22"/>
      <w:szCs w:val="22"/>
      <w:lang w:eastAsia="tr-TR"/>
      <w14:ligatures w14:val="none"/>
    </w:rPr>
  </w:style>
  <w:style w:type="paragraph" w:styleId="Balk1">
    <w:name w:val="heading 1"/>
    <w:basedOn w:val="Normal"/>
    <w:next w:val="Normal"/>
    <w:link w:val="Balk1Char"/>
    <w:uiPriority w:val="9"/>
    <w:qFormat/>
    <w:rsid w:val="00CA2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A2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A2B7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A2B7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A2B7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A2B7D"/>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A2B7D"/>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A2B7D"/>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A2B7D"/>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A2B7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A2B7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A2B7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A2B7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A2B7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A2B7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A2B7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A2B7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A2B7D"/>
    <w:rPr>
      <w:rFonts w:eastAsiaTheme="majorEastAsia" w:cstheme="majorBidi"/>
      <w:color w:val="272727" w:themeColor="text1" w:themeTint="D8"/>
    </w:rPr>
  </w:style>
  <w:style w:type="paragraph" w:styleId="KonuBal">
    <w:name w:val="Title"/>
    <w:basedOn w:val="Normal"/>
    <w:next w:val="Normal"/>
    <w:link w:val="KonuBalChar"/>
    <w:uiPriority w:val="10"/>
    <w:qFormat/>
    <w:rsid w:val="00CA2B7D"/>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A2B7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A2B7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A2B7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A2B7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A2B7D"/>
    <w:rPr>
      <w:i/>
      <w:iCs/>
      <w:color w:val="404040" w:themeColor="text1" w:themeTint="BF"/>
    </w:rPr>
  </w:style>
  <w:style w:type="paragraph" w:styleId="ListeParagraf">
    <w:name w:val="List Paragraph"/>
    <w:basedOn w:val="Normal"/>
    <w:uiPriority w:val="34"/>
    <w:qFormat/>
    <w:rsid w:val="00CA2B7D"/>
    <w:pPr>
      <w:ind w:left="720"/>
      <w:contextualSpacing/>
    </w:pPr>
  </w:style>
  <w:style w:type="character" w:styleId="GlVurgulama">
    <w:name w:val="Intense Emphasis"/>
    <w:basedOn w:val="VarsaylanParagrafYazTipi"/>
    <w:uiPriority w:val="21"/>
    <w:qFormat/>
    <w:rsid w:val="00CA2B7D"/>
    <w:rPr>
      <w:i/>
      <w:iCs/>
      <w:color w:val="0F4761" w:themeColor="accent1" w:themeShade="BF"/>
    </w:rPr>
  </w:style>
  <w:style w:type="paragraph" w:styleId="GlAlnt">
    <w:name w:val="Intense Quote"/>
    <w:basedOn w:val="Normal"/>
    <w:next w:val="Normal"/>
    <w:link w:val="GlAlntChar"/>
    <w:uiPriority w:val="30"/>
    <w:qFormat/>
    <w:rsid w:val="00CA2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A2B7D"/>
    <w:rPr>
      <w:i/>
      <w:iCs/>
      <w:color w:val="0F4761" w:themeColor="accent1" w:themeShade="BF"/>
    </w:rPr>
  </w:style>
  <w:style w:type="character" w:styleId="GlBavuru">
    <w:name w:val="Intense Reference"/>
    <w:basedOn w:val="VarsaylanParagrafYazTipi"/>
    <w:uiPriority w:val="32"/>
    <w:qFormat/>
    <w:rsid w:val="00CA2B7D"/>
    <w:rPr>
      <w:b/>
      <w:bCs/>
      <w:smallCaps/>
      <w:color w:val="0F4761" w:themeColor="accent1" w:themeShade="BF"/>
      <w:spacing w:val="5"/>
    </w:rPr>
  </w:style>
  <w:style w:type="paragraph" w:customStyle="1" w:styleId="Dizin">
    <w:name w:val="Dizin"/>
    <w:basedOn w:val="Normal"/>
    <w:rsid w:val="00CA2B7D"/>
    <w:pPr>
      <w:widowControl w:val="0"/>
      <w:suppressLineNumbers/>
      <w:overflowPunct/>
      <w:autoSpaceDE/>
      <w:autoSpaceDN/>
      <w:adjustRightInd/>
      <w:jc w:val="left"/>
      <w:textAlignment w:val="auto"/>
    </w:pPr>
    <w:rPr>
      <w:rFonts w:cs="Times New Roman"/>
      <w:sz w:val="24"/>
      <w:szCs w:val="2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Sekil1" Type="http://schemas.openxmlformats.org/officeDocument/2006/relationships/image" Target="media/sekil1.png"/><Relationship Id="rIdSekil2" Type="http://schemas.openxmlformats.org/officeDocument/2006/relationships/image" Target="media/sekil2.png"/><Relationship Id="rIdSekil3" Type="http://schemas.openxmlformats.org/officeDocument/2006/relationships/image" Target="media/sekil3.png"/><Relationship Id="rIdSekil4" Type="http://schemas.openxmlformats.org/officeDocument/2006/relationships/image" Target="media/sekil4.png"/><Relationship Id="rIdSekil5" Type="http://schemas.openxmlformats.org/officeDocument/2006/relationships/image" Target="media/sekil5.png"/><Relationship Id="rIdSekil6" Type="http://schemas.openxmlformats.org/officeDocument/2006/relationships/image" Target="media/sekil6.png"/><Relationship Id="rIdSekil7" Type="http://schemas.openxmlformats.org/officeDocument/2006/relationships/image" Target="media/sekil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Suleyman Eken</dc:creator>
  <cp:keywords/>
  <dc:description/>
  <cp:lastModifiedBy>Suleyman Eken</cp:lastModifiedBy>
  <cp:revision>2</cp:revision>
  <dcterms:created xsi:type="dcterms:W3CDTF">2026-10-12T12:34:00Z</dcterms:created>
  <dcterms:modified xsi:type="dcterms:W3CDTF">2026-10-12T12:37:00Z</dcterms:modified>
</cp:coreProperties>
</file>