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Enviko Bio 独立站落地执行清单（询盘提升3-5倍标准化改版方案）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一、整体改造总原则（全站统一标准）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所有页面</w:t>
      </w:r>
      <w:r>
        <w:rPr>
          <w:rFonts w:eastAsia="等线" w:ascii="Arial" w:cs="Arial" w:hAnsi="Arial"/>
          <w:b w:val="true"/>
          <w:sz w:val="22"/>
        </w:rPr>
        <w:t>不以好看为标准，只以留存、信任、引导询盘为标准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全站统一三要素：</w:t>
      </w:r>
      <w:r>
        <w:rPr>
          <w:rFonts w:eastAsia="等线" w:ascii="Arial" w:cs="Arial" w:hAnsi="Arial"/>
          <w:b w:val="true"/>
          <w:sz w:val="22"/>
        </w:rPr>
        <w:t>清晰样品政策 + 可下载资质 + 全程WhatsApp悬浮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所有流量必须精准落地：</w:t>
      </w:r>
      <w:r>
        <w:rPr>
          <w:rFonts w:eastAsia="等线" w:ascii="Arial" w:cs="Arial" w:hAnsi="Arial"/>
          <w:b w:val="true"/>
          <w:sz w:val="22"/>
        </w:rPr>
        <w:t>产品词→单品页、供应商词→工厂页、合规词→资料留资页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所有表单控制在 </w:t>
      </w:r>
      <w:r>
        <w:rPr>
          <w:rFonts w:eastAsia="等线" w:ascii="Arial" w:cs="Arial" w:hAnsi="Arial"/>
          <w:b w:val="true"/>
          <w:sz w:val="22"/>
        </w:rPr>
        <w:t>4个字段以内</w:t>
      </w:r>
      <w:r>
        <w:rPr>
          <w:rFonts w:eastAsia="等线" w:ascii="Arial" w:cs="Arial" w:hAnsi="Arial"/>
          <w:sz w:val="22"/>
        </w:rPr>
        <w:t>，杜绝长表单流失。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二、首页 强制改版清单（100%落地）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首屏（3秒留人核心）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主标题改成【买家利益型】，不要品牌口号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示例标准句式：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Cosmetic Grade Bioactive Raw Material | Full India Customs Documents, Free Sample, SGS/REACH Certified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首屏必须同时出现：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3条核心优势（高纯度、现货、可清关、样品政策四选三）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双CTA按钮：</w:t>
      </w:r>
      <w:r>
        <w:rPr>
          <w:rFonts w:eastAsia="等线" w:ascii="Arial" w:cs="Arial" w:hAnsi="Arial"/>
          <w:b w:val="true"/>
          <w:sz w:val="22"/>
        </w:rPr>
        <w:t>Request Free Sample / Download COA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资质小图标：REACH / SGS / ISO / FDA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首页第二屏：产品精准分流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按买家行业分类，不要按化学名称乱排：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Whitening Raw Materials（熊果苷、传明酸、曲酸）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Anti-aging &amp; Antioxidant（麦角硫因、白藜芦醇、补骨脂酚）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Moisturizing &amp; Repairing（角鲨烷、红没药醇、依克多因）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Plant Extracts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每个产品卡片直接跳转</w:t>
      </w:r>
      <w:r>
        <w:rPr>
          <w:rFonts w:eastAsia="等线" w:ascii="Arial" w:cs="Arial" w:hAnsi="Arial"/>
          <w:b w:val="true"/>
          <w:sz w:val="22"/>
        </w:rPr>
        <w:t>独立单品落地页</w:t>
      </w:r>
      <w:r>
        <w:rPr>
          <w:rFonts w:eastAsia="等线" w:ascii="Arial" w:cs="Arial" w:hAnsi="Arial"/>
          <w:sz w:val="22"/>
        </w:rPr>
        <w:t>，不允许跳分类页。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首页第三屏：工厂信任模块（必须实景）</w:t>
      </w:r>
      <w:bookmarkEnd w:id="4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发酵车间、实验室、仓库实拍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月产能、交付能力数据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出口国家重点标注：India / SEA / Europe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首页第四屏：客户案例（只放日化工厂）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重点突出：</w:t>
      </w:r>
      <w:r>
        <w:rPr>
          <w:rFonts w:eastAsia="等线" w:ascii="Arial" w:cs="Arial" w:hAnsi="Arial"/>
          <w:b w:val="true"/>
          <w:sz w:val="22"/>
        </w:rPr>
        <w:t>印度、东南亚日化品牌合作</w:t>
      </w:r>
      <w:r>
        <w:rPr>
          <w:rFonts w:eastAsia="等线" w:ascii="Arial" w:cs="Arial" w:hAnsi="Arial"/>
          <w:sz w:val="22"/>
        </w:rPr>
        <w:t>，不要泛外贸案例。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5. 首页底部：资料留资诱饵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免费下载：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India Cosmetic Raw Material Import Guide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Full Product COA &amp; TDS Package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三、单品页 标准化高转化模板（全站统一结构）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每个产品必须完全统一以下 8 块结构，缺一不可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单品首屏（最强转化区）</w:t>
      </w:r>
      <w:bookmarkEnd w:id="8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产品标准英文名称 + 品级标注（Cosmetic Grade）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核心卖点（纯度、发酵/植物来源、合规、现货）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双按钮：Download COA / Free Sample Request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Basic Information 参数区（整齐表格）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CAS / Purity / INCI / Appearance / Package / Shelf Life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 Product Advantage 差异化（重点写同行没有的）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例如：低杂质、批次稳定、可印度清关、植物来源、无动物成分、现货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 Application 应用场景（对买家行业写）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Skin brightening, anti-aging, moisturizing, repair serum, cream, lotion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5. Document Download 专区（非常关键）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一键下载：COA / TDS / MSDS / REACH / Safety Report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6. Sample Policy 独立板块（必须写清楚）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固定话术：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10-50g free sample, customer pay courier freight. Freight fee will be deducted from bulk order.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7. FAQ 前置答疑（拦截90%咨询流失）</w:t>
      </w:r>
      <w:bookmarkEnd w:id="14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Sample &amp; shipping time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Customs documents support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MOQ &amp; stock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Quality stability &amp; batch test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8. CTA 转化区（双入口）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精简询盘表单（4字段）+ WhatsApp一键咨询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四、新增2个高转化专题页（询盘暴涨核心）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目前网站没有，必须新建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1. Factory Strength Page（供应商词落地页）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专门承接：manufacturer / factory / supplier 流量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内容：产线、产能、质控、出口流程、合作品牌、资质合集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 Free Resource Download Page（留资诱饵页）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极简无导航页面，只做一件事：</w:t>
      </w:r>
      <w:r>
        <w:rPr>
          <w:rFonts w:eastAsia="等线" w:ascii="Arial" w:cs="Arial" w:hAnsi="Arial"/>
          <w:b w:val="true"/>
          <w:sz w:val="22"/>
        </w:rPr>
        <w:t>拿客户邮箱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可下载资料：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India Import Compliance Guide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Cosmetic Raw Material Formula E-book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Full Certificates Package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表单仅需：Name + Company + Email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五、全站强制转化功能配置（必须全部开启）</w:t>
      </w:r>
      <w:bookmarkEnd w:id="19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全站悬浮 WhatsApp（移动端+PC端永久显示）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页面退出弹窗：限时免费样品政策挽留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所有产品页内置嵌入式CTA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所有表单自动邮件推送+后台记录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每个页面自动匹配对应COA下载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六、用户旅程修复清单（彻底解决访客只看不询）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杜绝所有“首页统一承接流量”</w:t>
      </w:r>
      <w:r>
        <w:rPr>
          <w:rFonts w:eastAsia="等线" w:ascii="Arial" w:cs="Arial" w:hAnsi="Arial"/>
          <w:sz w:val="22"/>
        </w:rPr>
        <w:t>：产品关键词必须进单品页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所有页面首屏3秒必须给出买家答案</w:t>
      </w:r>
      <w:r>
        <w:rPr>
          <w:rFonts w:eastAsia="等线" w:ascii="Arial" w:cs="Arial" w:hAnsi="Arial"/>
          <w:sz w:val="22"/>
        </w:rPr>
        <w:t>：样品、合规、纯度、现货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</w:t>
      </w:r>
      <w:r>
        <w:rPr>
          <w:rFonts w:eastAsia="等线" w:ascii="Arial" w:cs="Arial" w:hAnsi="Arial"/>
          <w:b w:val="true"/>
          <w:sz w:val="22"/>
        </w:rPr>
        <w:t>先给价值、再要询盘</w:t>
      </w:r>
      <w:r>
        <w:rPr>
          <w:rFonts w:eastAsia="等线" w:ascii="Arial" w:cs="Arial" w:hAnsi="Arial"/>
          <w:sz w:val="22"/>
        </w:rPr>
        <w:t>：先下载资料 → 再咨询样品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减少所有无关跳转链接</w:t>
      </w:r>
      <w:r>
        <w:rPr>
          <w:rFonts w:eastAsia="等线" w:ascii="Arial" w:cs="Arial" w:hAnsi="Arial"/>
          <w:sz w:val="22"/>
        </w:rPr>
        <w:t>，避免用户跑丢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所有模糊文案全部删除</w:t>
      </w:r>
      <w:r>
        <w:rPr>
          <w:rFonts w:eastAsia="等线" w:ascii="Arial" w:cs="Arial" w:hAnsi="Arial"/>
          <w:sz w:val="22"/>
        </w:rPr>
        <w:t>，只保留：可验证、可下单、可清关、可寄样内容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七、SEO 标题标准化模板（全部产品统一改写）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[Product Name] Cosmetic Grade | REACH &amp; SGS Certified, Free Sample, Full Customs Documents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L-Ergothioneine 99.9% Cosmetic Grade | REACH Certified, Free Test Sample, India Custom Support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八、最终验收标准（改完必须达到）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访客进入任意产品页 </w:t>
      </w:r>
      <w:r>
        <w:rPr>
          <w:rFonts w:eastAsia="等线" w:ascii="Arial" w:cs="Arial" w:hAnsi="Arial"/>
          <w:b w:val="true"/>
          <w:sz w:val="22"/>
        </w:rPr>
        <w:t>3秒知道：能不能拿样、能不能清关、纯度多少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全站没有任何多余空话、品牌虚话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每个页面至少 2 个询盘入口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所有核心资料可一键下载（无繁琐流程）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新访客留存率、样品申请率、表单提交率明显提升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9072">
    <w:lvl>
      <w:numFmt w:val="bullet"/>
      <w:suff w:val="tab"/>
      <w:lvlText w:val="•"/>
      <w:rPr>
        <w:color w:val="3370ff"/>
      </w:rPr>
    </w:lvl>
  </w:abstractNum>
  <w:abstractNum w:abstractNumId="209073">
    <w:lvl>
      <w:numFmt w:val="bullet"/>
      <w:suff w:val="tab"/>
      <w:lvlText w:val="•"/>
      <w:rPr>
        <w:color w:val="3370ff"/>
      </w:rPr>
    </w:lvl>
  </w:abstractNum>
  <w:abstractNum w:abstractNumId="209074">
    <w:lvl>
      <w:numFmt w:val="bullet"/>
      <w:suff w:val="tab"/>
      <w:lvlText w:val="•"/>
      <w:rPr>
        <w:color w:val="3370ff"/>
      </w:rPr>
    </w:lvl>
  </w:abstractNum>
  <w:abstractNum w:abstractNumId="209075">
    <w:lvl>
      <w:numFmt w:val="bullet"/>
      <w:suff w:val="tab"/>
      <w:lvlText w:val="•"/>
      <w:rPr>
        <w:color w:val="3370ff"/>
      </w:rPr>
    </w:lvl>
  </w:abstractNum>
  <w:abstractNum w:abstractNumId="209076">
    <w:lvl>
      <w:numFmt w:val="bullet"/>
      <w:suff w:val="tab"/>
      <w:lvlText w:val="•"/>
      <w:rPr>
        <w:color w:val="3370ff"/>
      </w:rPr>
    </w:lvl>
  </w:abstractNum>
  <w:abstractNum w:abstractNumId="209077">
    <w:lvl>
      <w:numFmt w:val="bullet"/>
      <w:suff w:val="tab"/>
      <w:lvlText w:val="•"/>
      <w:rPr>
        <w:color w:val="3370ff"/>
      </w:rPr>
    </w:lvl>
  </w:abstractNum>
  <w:abstractNum w:abstractNumId="209078">
    <w:lvl>
      <w:numFmt w:val="bullet"/>
      <w:suff w:val="tab"/>
      <w:lvlText w:val="•"/>
      <w:rPr>
        <w:color w:val="3370ff"/>
      </w:rPr>
    </w:lvl>
  </w:abstractNum>
  <w:abstractNum w:abstractNumId="209079">
    <w:lvl>
      <w:numFmt w:val="bullet"/>
      <w:suff w:val="tab"/>
      <w:lvlText w:val="•"/>
      <w:rPr>
        <w:color w:val="3370ff"/>
      </w:rPr>
    </w:lvl>
  </w:abstractNum>
  <w:abstractNum w:abstractNumId="209080">
    <w:lvl>
      <w:numFmt w:val="bullet"/>
      <w:suff w:val="tab"/>
      <w:lvlText w:val="•"/>
      <w:rPr>
        <w:color w:val="3370ff"/>
      </w:rPr>
    </w:lvl>
  </w:abstractNum>
  <w:abstractNum w:abstractNumId="209081">
    <w:lvl>
      <w:numFmt w:val="bullet"/>
      <w:suff w:val="tab"/>
      <w:lvlText w:val="•"/>
      <w:rPr>
        <w:color w:val="3370ff"/>
      </w:rPr>
    </w:lvl>
  </w:abstractNum>
  <w:abstractNum w:abstractNumId="209082">
    <w:lvl>
      <w:numFmt w:val="bullet"/>
      <w:suff w:val="tab"/>
      <w:lvlText w:val="•"/>
      <w:rPr>
        <w:color w:val="3370ff"/>
      </w:rPr>
    </w:lvl>
  </w:abstractNum>
  <w:abstractNum w:abstractNumId="209083">
    <w:lvl>
      <w:numFmt w:val="bullet"/>
      <w:suff w:val="tab"/>
      <w:lvlText w:val="•"/>
      <w:rPr>
        <w:color w:val="3370ff"/>
      </w:rPr>
    </w:lvl>
  </w:abstractNum>
  <w:abstractNum w:abstractNumId="209084">
    <w:lvl>
      <w:numFmt w:val="bullet"/>
      <w:suff w:val="tab"/>
      <w:lvlText w:val="•"/>
      <w:rPr>
        <w:color w:val="3370ff"/>
      </w:rPr>
    </w:lvl>
  </w:abstractNum>
  <w:abstractNum w:abstractNumId="209085">
    <w:lvl>
      <w:numFmt w:val="bullet"/>
      <w:suff w:val="tab"/>
      <w:lvlText w:val="•"/>
      <w:rPr>
        <w:color w:val="3370ff"/>
      </w:rPr>
    </w:lvl>
  </w:abstractNum>
  <w:abstractNum w:abstractNumId="209086">
    <w:lvl>
      <w:numFmt w:val="bullet"/>
      <w:suff w:val="tab"/>
      <w:lvlText w:val="•"/>
      <w:rPr>
        <w:color w:val="3370ff"/>
      </w:rPr>
    </w:lvl>
  </w:abstractNum>
  <w:abstractNum w:abstractNumId="209087">
    <w:lvl>
      <w:numFmt w:val="bullet"/>
      <w:suff w:val="tab"/>
      <w:lvlText w:val="•"/>
      <w:rPr>
        <w:color w:val="3370ff"/>
      </w:rPr>
    </w:lvl>
  </w:abstractNum>
  <w:abstractNum w:abstractNumId="209088">
    <w:lvl>
      <w:numFmt w:val="bullet"/>
      <w:suff w:val="tab"/>
      <w:lvlText w:val="•"/>
      <w:rPr>
        <w:color w:val="3370ff"/>
      </w:rPr>
    </w:lvl>
  </w:abstractNum>
  <w:abstractNum w:abstractNumId="209089">
    <w:lvl>
      <w:numFmt w:val="bullet"/>
      <w:suff w:val="tab"/>
      <w:lvlText w:val="•"/>
      <w:rPr>
        <w:color w:val="3370ff"/>
      </w:rPr>
    </w:lvl>
  </w:abstractNum>
  <w:abstractNum w:abstractNumId="209090">
    <w:lvl>
      <w:numFmt w:val="bullet"/>
      <w:suff w:val="tab"/>
      <w:lvlText w:val="•"/>
      <w:rPr>
        <w:color w:val="3370ff"/>
      </w:rPr>
    </w:lvl>
  </w:abstractNum>
  <w:abstractNum w:abstractNumId="209091">
    <w:lvl>
      <w:numFmt w:val="bullet"/>
      <w:suff w:val="tab"/>
      <w:lvlText w:val="•"/>
      <w:rPr>
        <w:color w:val="3370ff"/>
      </w:rPr>
    </w:lvl>
  </w:abstractNum>
  <w:abstractNum w:abstractNumId="209092">
    <w:lvl>
      <w:numFmt w:val="bullet"/>
      <w:suff w:val="tab"/>
      <w:lvlText w:val="•"/>
      <w:rPr>
        <w:color w:val="3370ff"/>
      </w:rPr>
    </w:lvl>
  </w:abstractNum>
  <w:abstractNum w:abstractNumId="209093">
    <w:lvl>
      <w:numFmt w:val="bullet"/>
      <w:suff w:val="tab"/>
      <w:lvlText w:val="•"/>
      <w:rPr>
        <w:color w:val="3370ff"/>
      </w:rPr>
    </w:lvl>
  </w:abstractNum>
  <w:abstractNum w:abstractNumId="209094">
    <w:lvl>
      <w:numFmt w:val="bullet"/>
      <w:suff w:val="tab"/>
      <w:lvlText w:val="•"/>
      <w:rPr>
        <w:color w:val="3370ff"/>
      </w:rPr>
    </w:lvl>
  </w:abstractNum>
  <w:abstractNum w:abstractNumId="209095">
    <w:lvl>
      <w:numFmt w:val="bullet"/>
      <w:suff w:val="tab"/>
      <w:lvlText w:val="•"/>
      <w:rPr>
        <w:color w:val="3370ff"/>
      </w:rPr>
    </w:lvl>
  </w:abstractNum>
  <w:abstractNum w:abstractNumId="209096">
    <w:lvl>
      <w:numFmt w:val="bullet"/>
      <w:suff w:val="tab"/>
      <w:lvlText w:val="•"/>
      <w:rPr>
        <w:color w:val="3370ff"/>
      </w:rPr>
    </w:lvl>
  </w:abstractNum>
  <w:abstractNum w:abstractNumId="209097">
    <w:lvl>
      <w:numFmt w:val="bullet"/>
      <w:suff w:val="tab"/>
      <w:lvlText w:val="•"/>
      <w:rPr>
        <w:color w:val="3370ff"/>
      </w:rPr>
    </w:lvl>
  </w:abstractNum>
  <w:abstractNum w:abstractNumId="209098">
    <w:lvl>
      <w:numFmt w:val="bullet"/>
      <w:suff w:val="tab"/>
      <w:lvlText w:val="•"/>
      <w:rPr>
        <w:color w:val="3370ff"/>
      </w:rPr>
    </w:lvl>
  </w:abstractNum>
  <w:num w:numId="1">
    <w:abstractNumId w:val="209072"/>
  </w:num>
  <w:num w:numId="2">
    <w:abstractNumId w:val="209073"/>
  </w:num>
  <w:num w:numId="3">
    <w:abstractNumId w:val="209074"/>
  </w:num>
  <w:num w:numId="4">
    <w:abstractNumId w:val="209075"/>
  </w:num>
  <w:num w:numId="5">
    <w:abstractNumId w:val="209076"/>
  </w:num>
  <w:num w:numId="6">
    <w:abstractNumId w:val="209077"/>
  </w:num>
  <w:num w:numId="7">
    <w:abstractNumId w:val="209078"/>
  </w:num>
  <w:num w:numId="8">
    <w:abstractNumId w:val="209079"/>
  </w:num>
  <w:num w:numId="9">
    <w:abstractNumId w:val="209080"/>
  </w:num>
  <w:num w:numId="10">
    <w:abstractNumId w:val="209081"/>
  </w:num>
  <w:num w:numId="11">
    <w:abstractNumId w:val="209082"/>
  </w:num>
  <w:num w:numId="12">
    <w:abstractNumId w:val="209083"/>
  </w:num>
  <w:num w:numId="13">
    <w:abstractNumId w:val="209084"/>
  </w:num>
  <w:num w:numId="14">
    <w:abstractNumId w:val="209085"/>
  </w:num>
  <w:num w:numId="15">
    <w:abstractNumId w:val="209086"/>
  </w:num>
  <w:num w:numId="16">
    <w:abstractNumId w:val="209087"/>
  </w:num>
  <w:num w:numId="17">
    <w:abstractNumId w:val="209088"/>
  </w:num>
  <w:num w:numId="18">
    <w:abstractNumId w:val="209089"/>
  </w:num>
  <w:num w:numId="19">
    <w:abstractNumId w:val="209090"/>
  </w:num>
  <w:num w:numId="20">
    <w:abstractNumId w:val="209091"/>
  </w:num>
  <w:num w:numId="21">
    <w:abstractNumId w:val="209092"/>
  </w:num>
  <w:num w:numId="22">
    <w:abstractNumId w:val="209093"/>
  </w:num>
  <w:num w:numId="23">
    <w:abstractNumId w:val="209094"/>
  </w:num>
  <w:num w:numId="24">
    <w:abstractNumId w:val="209095"/>
  </w:num>
  <w:num w:numId="25">
    <w:abstractNumId w:val="209096"/>
  </w:num>
  <w:num w:numId="26">
    <w:abstractNumId w:val="209097"/>
  </w:num>
  <w:num w:numId="27">
    <w:abstractNumId w:val="2090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2026-07-08T01:05:09Z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{"Label":"1","ContentProducer":"001191110102MACQD9K64010000","ProduceID":"7659956923916635315","ReservedCode1":"","ContentPropagator":"","PropagateID":"","ReservedCode2":""}</vt:lpwstr>
  </property>
</Properties>
</file>