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6.jpg" ContentType="image/jpeg"/>
  <Override PartName="/word/media/rId50.jpg" ContentType="image/jpeg"/>
  <Override PartName="/word/media/rId46.jpg" ContentType="image/jpeg"/>
  <Override PartName="/word/media/rId66.jpg" ContentType="image/jpeg"/>
  <Override PartName="/word/media/rId62.jpg" ContentType="image/jpeg"/>
  <Override PartName="/word/media/rId28.jpg" ContentType="image/jpeg"/>
  <Override PartName="/word/media/rId24.jpg" ContentType="image/jpeg"/>
  <Override PartName="/word/media/rId40.jpg" ContentType="image/jpeg"/>
  <Override PartName="/word/media/rId36.jpg" ContentType="image/jpeg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envYura</w:t>
      </w:r>
    </w:p>
    <w:p>
      <w:pPr>
        <w:pStyle w:val="Subtitle"/>
      </w:pPr>
      <w:r>
        <w:t xml:space="preserve">Plantas susceptibles de uso sostenible en la zona andina de la provincia de Cotopaxi, Ecuador</w:t>
      </w:r>
    </w:p>
    <w:p>
      <w:pPr>
        <w:pStyle w:val="Author"/>
      </w:pPr>
      <w:r>
        <w:t xml:space="preserve">Marcelo F. Amores Palma</w:t>
      </w:r>
    </w:p>
    <w:p>
      <w:pPr>
        <w:pStyle w:val="Date"/>
      </w:pPr>
      <w:r>
        <w:t xml:space="preserve">septiembre,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presentación"/>
    <w:p>
      <w:pPr>
        <w:pStyle w:val="Ttulo1"/>
      </w:pPr>
      <w:r>
        <w:t xml:space="preserve">Presentación</w:t>
      </w:r>
    </w:p>
    <w:p>
      <w:pPr>
        <w:pStyle w:val="FirstParagraph"/>
      </w:pPr>
      <w:r>
        <w:t xml:space="preserve">Ecuador alberga una de las concentraciones de diversidad biológica y genética más notables del planeta, un patrimonio natural que alcanza una expresión singular y fascinante en los ecosistemas de la zona central de los Andes ecuatorianos. La presente obra constituye el resultado integral de un esfuerzo macro de investigación, monitoreo y síntesis científica, guiado por dos pilares fundamentales: el conocimiento y la conservación de la biodiversidad para su uso sostenible, y el ejercicio de una ciencia abierta, accesible y colaborativa. Bajo un marco metodológico adaptado para comprender los constantes cambios espacio-temporales en la distribución de las especies, este proyecto articula la documentación biológica con proyecciones de monitoreo continuo y una comunicación pedagógica y permanente, buscando vincular el rigor científico con la sensibilización y el beneficio directo de la sociedad.</w:t>
      </w:r>
    </w:p>
    <w:bookmarkEnd w:id="23"/>
    <w:bookmarkStart w:id="35" w:name="alstroemerieae"/>
    <w:p>
      <w:pPr>
        <w:pStyle w:val="Ttulo1"/>
      </w:pPr>
      <w:r>
        <w:t xml:space="preserve">1. Alstroemerieae</w:t>
      </w:r>
    </w:p>
    <w:bookmarkStart w:id="33" w:name="bomarea-multiflora-l.f.-mirb."/>
    <w:p>
      <w:pPr>
        <w:pStyle w:val="Ttulo2"/>
      </w:pPr>
      <w:r>
        <w:t xml:space="preserve">1.1</w:t>
      </w:r>
      <w:r>
        <w:t xml:space="preserve"> </w:t>
      </w:r>
      <w:r>
        <w:rPr>
          <w:i/>
          <w:iCs/>
        </w:rPr>
        <w:t xml:space="preserve">Bomarea multiflora</w:t>
      </w:r>
      <w:r>
        <w:t xml:space="preserve"> </w:t>
      </w:r>
      <w:r>
        <w:t xml:space="preserve">(L.f.) Mirb.</w:t>
      </w:r>
    </w:p>
    <w:p>
      <w:pPr>
        <w:pStyle w:val="FirstParagraph"/>
      </w:pPr>
      <w:r>
        <w:rPr>
          <w:b/>
          <w:bCs/>
        </w:rPr>
        <w:t xml:space="preserve">Planta comunmente conocida como:</w:t>
      </w:r>
      <w:r>
        <w:t xml:space="preserve"> </w:t>
      </w:r>
      <w:r>
        <w:t xml:space="preserve">Ishpapuru, Manka paki, Aya manzana, Achiotillo, Papa monte, Veneno de perro, Laytu, Ligtu.</w:t>
      </w:r>
    </w:p>
    <w:p>
      <w:pPr>
        <w:pStyle w:val="BodyText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Tóxico para vertebrados:</w:t>
      </w:r>
    </w:p>
    <w:p>
      <w:pPr>
        <w:pStyle w:val="Compact"/>
        <w:numPr>
          <w:ilvl w:val="0"/>
          <w:numId w:val="1001"/>
        </w:numPr>
      </w:pPr>
      <w:r>
        <w:t xml:space="preserve">El fruto y las semillas contienen una sustancia tóxica, que puede causar la muerte a animales medianos (perros) y grandes, incluso al hombre.</w:t>
      </w:r>
    </w:p>
    <w:p>
      <w:pPr>
        <w:pStyle w:val="FirstParagraph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02"/>
        </w:numPr>
      </w:pPr>
      <w:r>
        <w:t xml:space="preserve">Se usa para tratar “pegados” (sic) del seno.</w:t>
      </w:r>
    </w:p>
    <w:p>
      <w:pPr>
        <w:pStyle w:val="Compact"/>
        <w:numPr>
          <w:ilvl w:val="0"/>
          <w:numId w:val="1002"/>
        </w:numPr>
      </w:pPr>
      <w:r>
        <w:t xml:space="preserve">Trata afecciones indeterminadas.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Distribución de</w:t>
            </w:r>
            <w:r>
              <w:t xml:space="preserve"> </w:t>
            </w:r>
            <w:r>
              <w:rPr>
                <w:i/>
                <w:iCs/>
              </w:rPr>
              <w:t xml:space="preserve">Bomarea multiflora</w:t>
            </w:r>
            <w:r>
              <w:t xml:space="preserve"> </w:t>
            </w:r>
            <w:r>
              <w:t xml:space="preserve">(L.f.) Mirb., registrada en GBIF, consultado el 03-09-2026</w:t>
            </w:r>
          </w:p>
        </w:tc>
      </w:tr>
    </w:tbl>
    <w:p>
      <w:pPr>
        <w:pStyle w:val="ImageCaption"/>
      </w:pPr>
      <w:r>
        <w:t xml:space="preserve">Distribución de</w:t>
      </w:r>
      <w:r>
        <w:t xml:space="preserve"> </w:t>
      </w:r>
      <w:r>
        <w:rPr>
          <w:i/>
          <w:iCs/>
        </w:rPr>
        <w:t xml:space="preserve">Bomarea multiflora</w:t>
      </w:r>
      <w:r>
        <w:t xml:space="preserve"> </w:t>
      </w:r>
      <w:r>
        <w:t xml:space="preserve">(L.f.) Mirb., registrada en GBIF, consultado el 03-09-2026</w:t>
      </w:r>
    </w:p>
    <w:p>
      <w:pPr>
        <w:pStyle w:val="BodyText"/>
      </w:pPr>
      <w:r>
        <w:rPr>
          <w:i/>
          <w:iCs/>
        </w:rPr>
        <w:t xml:space="preserve">Bomarea multiflora</w:t>
      </w:r>
      <w:r>
        <w:t xml:space="preserve"> </w:t>
      </w:r>
      <w:r>
        <w:t xml:space="preserve">(L.f.) Mirb. ha sido registrada en las siguientes áreas geográficas:</w:t>
      </w:r>
    </w:p>
    <w:p>
      <w:pPr>
        <w:pStyle w:val="BodyText"/>
      </w:pPr>
      <w:r>
        <w:t xml:space="preserve">Colombia; Ecuador.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taxon-43000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3657600"/>
                        <wp:effectExtent b="0" l="0" r="0" t="0"/>
                        <wp:docPr descr="" title="" id="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473249639/medium.jpeg" id="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03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Bomarea multiflora</w:t>
                  </w:r>
                  <w:r>
                    <w:t xml:space="preserve"> </w:t>
                  </w:r>
                  <w:r>
                    <w:t xml:space="preserve">(L.f.) Mirb. observada en Tanicuchi, Ecuador por Marcelo Amores Palma (Licencia: CC BY-NC 4.0).</w:t>
                  </w:r>
                  <w:r>
                    <w:t xml:space="preserve"> </w:t>
                  </w:r>
                  <w:hyperlink r:id="rId27">
                    <w:r>
                      <w:rPr>
                        <w:rStyle w:val="Hipervnculo"/>
                      </w:rPr>
                      <w:t xml:space="preserve">https://www.inaturalist.org/observations/263432122</w:t>
                    </w:r>
                  </w:hyperlink>
                </w:p>
              </w:tc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2057400"/>
                        <wp:effectExtent b="0" l="0" r="0" t="0"/>
                        <wp:docPr descr="" title="" id="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254361886/medium.jpeg" id="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2057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04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Bomarea multiflora</w:t>
                  </w:r>
                  <w:r>
                    <w:t xml:space="preserve"> </w:t>
                  </w:r>
                  <w:r>
                    <w:t xml:space="preserve">(L.f.) Mirb. observada en Toacaso, Ecuador por Marcelo Amores Palma (Licencia: CC BY-NC 4.0).</w:t>
                  </w:r>
                  <w:r>
                    <w:t xml:space="preserve"> </w:t>
                  </w:r>
                  <w:hyperlink r:id="rId31">
                    <w:r>
                      <w:rPr>
                        <w:rStyle w:val="Hipervnculo"/>
                      </w:rPr>
                      <w:t xml:space="preserve">https://www.inaturalist.org/observations/147781902</w:t>
                    </w:r>
                  </w:hyperlink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1.1: Registros fotográficos de</w:t>
            </w:r>
            <w:r>
              <w:t xml:space="preserve"> </w:t>
            </w:r>
            <w:r>
              <w:rPr>
                <w:i/>
                <w:iCs/>
              </w:rPr>
              <w:t xml:space="preserve">Bomarea multiflora</w:t>
            </w:r>
            <w:r>
              <w:t xml:space="preserve"> </w:t>
            </w:r>
            <w:r>
              <w:t xml:space="preserve">(L.f.) Mirb.</w:t>
            </w:r>
          </w:p>
          <w:bookmarkEnd w:id="32"/>
        </w:tc>
      </w:tr>
    </w:tbl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End w:id="33"/>
    <w:bookmarkStart w:id="34" w:name="referencias"/>
    <w:p>
      <w:pPr>
        <w:pStyle w:val="Ttulo2"/>
      </w:pPr>
      <w:r>
        <w:t xml:space="preserve">Referencias</w:t>
      </w:r>
    </w:p>
    <w:bookmarkEnd w:id="34"/>
    <w:bookmarkEnd w:id="35"/>
    <w:bookmarkStart w:id="73" w:name="amaranthaceae"/>
    <w:p>
      <w:pPr>
        <w:pStyle w:val="Ttulo1"/>
      </w:pPr>
      <w:r>
        <w:t xml:space="preserve">2. Amaranthaceae</w:t>
      </w:r>
    </w:p>
    <w:bookmarkStart w:id="45" w:name="alternanthera-porrigens-jacq.-kuntze"/>
    <w:p>
      <w:pPr>
        <w:pStyle w:val="Ttulo2"/>
      </w:pPr>
      <w:r>
        <w:t xml:space="preserve">2.1</w:t>
      </w:r>
      <w:r>
        <w:t xml:space="preserve"> </w:t>
      </w:r>
      <w:r>
        <w:rPr>
          <w:i/>
          <w:iCs/>
        </w:rPr>
        <w:t xml:space="preserve">Alternanthera porrigens</w:t>
      </w:r>
      <w:r>
        <w:t xml:space="preserve"> </w:t>
      </w:r>
      <w:r>
        <w:t xml:space="preserve">(Jacq.) Kuntze</w:t>
      </w:r>
    </w:p>
    <w:p>
      <w:pPr>
        <w:pStyle w:val="FirstParagraph"/>
      </w:pPr>
      <w:r>
        <w:rPr>
          <w:b/>
          <w:bCs/>
        </w:rPr>
        <w:t xml:space="preserve">Planta comunmente conocida como:</w:t>
      </w:r>
      <w:r>
        <w:t xml:space="preserve"> </w:t>
      </w:r>
      <w:r>
        <w:t xml:space="preserve">Sikchus, Clavel, Moradilla, Moradilla blanca, Moradilla morada, Moradilla rosada, Troturo, Verbena de monte, Managafaqui, Telba.</w:t>
      </w:r>
    </w:p>
    <w:p>
      <w:pPr>
        <w:pStyle w:val="BodyText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05"/>
        </w:numPr>
      </w:pPr>
      <w:r>
        <w:t xml:space="preserve">La flor, en infusión, se bebe para tratar cólicos.</w:t>
      </w:r>
    </w:p>
    <w:p>
      <w:pPr>
        <w:pStyle w:val="Compact"/>
        <w:numPr>
          <w:ilvl w:val="0"/>
          <w:numId w:val="1005"/>
        </w:numPr>
      </w:pPr>
      <w:r>
        <w:t xml:space="preserve">Se usa como expectorante y para tratar afecciones hepáticas y renales.</w:t>
      </w:r>
    </w:p>
    <w:p>
      <w:pPr>
        <w:pStyle w:val="Compact"/>
        <w:numPr>
          <w:ilvl w:val="0"/>
          <w:numId w:val="1005"/>
        </w:numPr>
      </w:pPr>
      <w:r>
        <w:t xml:space="preserve">La flor se usa para tratar la tos.</w:t>
      </w:r>
    </w:p>
    <w:p>
      <w:pPr>
        <w:pStyle w:val="Compact"/>
        <w:numPr>
          <w:ilvl w:val="0"/>
          <w:numId w:val="1005"/>
        </w:numPr>
      </w:pPr>
      <w:r>
        <w:t xml:space="preserve">La flor en infusión, se toma como emenagogo.</w:t>
      </w:r>
    </w:p>
    <w:p>
      <w:pPr>
        <w:pStyle w:val="Compact"/>
        <w:numPr>
          <w:ilvl w:val="0"/>
          <w:numId w:val="1005"/>
        </w:numPr>
      </w:pPr>
      <w:r>
        <w:t xml:space="preserve">La horchata se usa como diurético.</w:t>
      </w:r>
    </w:p>
    <w:p>
      <w:pPr>
        <w:pStyle w:val="Compact"/>
        <w:numPr>
          <w:ilvl w:val="0"/>
          <w:numId w:val="1005"/>
        </w:numPr>
      </w:pPr>
      <w:r>
        <w:t xml:space="preserve">La horchata se bebe, en cocción junto con “ataco” (Amaranthus sp.), una rama de ruda (Ruta graveolens), flores de alfalfa (Medicago sativa), azúcar y alcohol de caña, durante la menstruación.</w:t>
      </w:r>
    </w:p>
    <w:p>
      <w:pPr>
        <w:pStyle w:val="Compact"/>
        <w:numPr>
          <w:ilvl w:val="0"/>
          <w:numId w:val="1005"/>
        </w:numPr>
      </w:pPr>
      <w:r>
        <w:t xml:space="preserve">La infusión de la flor y hojas, mezclada con toronjil y manzanilla, se bebe para tratar el dolor de riñones.</w:t>
      </w:r>
    </w:p>
    <w:p>
      <w:pPr>
        <w:pStyle w:val="Compact"/>
        <w:numPr>
          <w:ilvl w:val="0"/>
          <w:numId w:val="1005"/>
        </w:numPr>
      </w:pPr>
      <w:r>
        <w:t xml:space="preserve">La infusión de la planta detiene el sangrado de las mujeres después del parto.</w:t>
      </w:r>
    </w:p>
    <w:p>
      <w:pPr>
        <w:pStyle w:val="Compact"/>
        <w:numPr>
          <w:ilvl w:val="0"/>
          <w:numId w:val="1005"/>
        </w:numPr>
      </w:pPr>
      <w:r>
        <w:t xml:space="preserve">La infusión de la planta sola o mezclada con taraxaco, llantén escancel, caballo chupa, y calaguala, se usa para tratar afecciones del hígado y riñones, así como para regular la menstruación y para aliviar malestares femeninos.</w:t>
      </w:r>
    </w:p>
    <w:p>
      <w:pPr>
        <w:pStyle w:val="Compact"/>
        <w:numPr>
          <w:ilvl w:val="0"/>
          <w:numId w:val="1005"/>
        </w:numPr>
      </w:pPr>
      <w:r>
        <w:t xml:space="preserve">La planta, en infusión junto con otras especies, se usa para regular la menstruación.</w:t>
      </w:r>
    </w:p>
    <w:p>
      <w:pPr>
        <w:pStyle w:val="Compact"/>
        <w:numPr>
          <w:ilvl w:val="0"/>
          <w:numId w:val="1005"/>
        </w:numPr>
      </w:pPr>
      <w:r>
        <w:t xml:space="preserve">La raíz se usa para curar la diabetes.</w:t>
      </w:r>
    </w:p>
    <w:p>
      <w:pPr>
        <w:pStyle w:val="Compact"/>
        <w:numPr>
          <w:ilvl w:val="0"/>
          <w:numId w:val="1005"/>
        </w:numPr>
      </w:pPr>
      <w:r>
        <w:t xml:space="preserve">La planta, en infusión, se usa para tratar afecciones del hígado y de los riñones.</w:t>
      </w:r>
    </w:p>
    <w:p>
      <w:pPr>
        <w:pStyle w:val="Compact"/>
        <w:numPr>
          <w:ilvl w:val="0"/>
          <w:numId w:val="1005"/>
        </w:numPr>
      </w:pPr>
      <w:r>
        <w:t xml:space="preserve">Las hojas machacadas con agua se ingieren para tratar los dolores de cabeza causados por el frío.</w:t>
      </w:r>
    </w:p>
    <w:p>
      <w:pPr>
        <w:pStyle w:val="Compact"/>
        <w:numPr>
          <w:ilvl w:val="0"/>
          <w:numId w:val="1005"/>
        </w:numPr>
      </w:pPr>
      <w:r>
        <w:t xml:space="preserve">Es cicatrizante.</w:t>
      </w:r>
    </w:p>
    <w:p>
      <w:pPr>
        <w:pStyle w:val="Compact"/>
        <w:numPr>
          <w:ilvl w:val="0"/>
          <w:numId w:val="1005"/>
        </w:numPr>
      </w:pPr>
      <w:r>
        <w:t xml:space="preserve">Para detener las hemorragias.</w:t>
      </w:r>
    </w:p>
    <w:p>
      <w:pPr>
        <w:pStyle w:val="Compact"/>
        <w:numPr>
          <w:ilvl w:val="0"/>
          <w:numId w:val="1005"/>
        </w:numPr>
      </w:pPr>
      <w:r>
        <w:t xml:space="preserve">Se dice que el zumo puede curar el cáncer.</w:t>
      </w:r>
    </w:p>
    <w:p>
      <w:pPr>
        <w:pStyle w:val="Compact"/>
        <w:numPr>
          <w:ilvl w:val="0"/>
          <w:numId w:val="1005"/>
        </w:numPr>
      </w:pPr>
      <w:r>
        <w:t xml:space="preserve">Las hojas se aplican en un emplasto para aliviar golpes.</w:t>
      </w:r>
    </w:p>
    <w:p>
      <w:pPr>
        <w:pStyle w:val="Compact"/>
        <w:numPr>
          <w:ilvl w:val="0"/>
          <w:numId w:val="1005"/>
        </w:numPr>
      </w:pPr>
      <w:r>
        <w:t xml:space="preserve">Para tratar afecciones indeterminadas.</w:t>
      </w:r>
    </w:p>
    <w:p>
      <w:pPr>
        <w:pStyle w:val="FirstParagraph"/>
      </w:pPr>
      <w:r>
        <w:rPr>
          <w:b/>
          <w:bCs/>
        </w:rPr>
        <w:t xml:space="preserve">Social:</w:t>
      </w:r>
    </w:p>
    <w:p>
      <w:pPr>
        <w:pStyle w:val="Compact"/>
        <w:numPr>
          <w:ilvl w:val="0"/>
          <w:numId w:val="1006"/>
        </w:numPr>
      </w:pPr>
      <w:r>
        <w:t xml:space="preserve">Se usa para limpiar el “mal aire” y curar el “espanto”.</w:t>
      </w:r>
    </w:p>
    <w:p>
      <w:pPr>
        <w:pStyle w:val="Compact"/>
        <w:numPr>
          <w:ilvl w:val="0"/>
          <w:numId w:val="1006"/>
        </w:numPr>
      </w:pPr>
      <w:r>
        <w:t xml:space="preserve">Junto con Guilleminea densa, Amaranthus hybridus, Margyricarpus pinnatus, Asplenium monanthes y Muehlenbeckia tamnifolia, es útil para las mujeres después del parto como lavador de sangre.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taxon-6068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3657600"/>
                        <wp:effectExtent b="0" l="0" r="0" t="0"/>
                        <wp:docPr descr="" title="" id="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630115059/medium.jpg" id="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07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Alternanthera porrigens</w:t>
                  </w:r>
                  <w:r>
                    <w:t xml:space="preserve"> </w:t>
                  </w:r>
                  <w:r>
                    <w:t xml:space="preserve">(Jacq.) Kuntze observada en Latacunga, Ecuador por Marcelo Amores Palma (Licencia: CC BY-NC 4.0).</w:t>
                  </w:r>
                  <w:r>
                    <w:t xml:space="preserve"> </w:t>
                  </w:r>
                  <w:hyperlink r:id="rId39">
                    <w:r>
                      <w:rPr>
                        <w:rStyle w:val="Hipervnculo"/>
                      </w:rPr>
                      <w:t xml:space="preserve">https://www.inaturalist.org/observations/345739262</w:t>
                    </w:r>
                  </w:hyperlink>
                </w:p>
              </w:tc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2057400"/>
                        <wp:effectExtent b="0" l="0" r="0" t="0"/>
                        <wp:docPr descr="" title="" id="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607993313/medium.jpg" id="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2057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08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Alternanthera porrigens</w:t>
                  </w:r>
                  <w:r>
                    <w:t xml:space="preserve"> </w:t>
                  </w:r>
                  <w:r>
                    <w:t xml:space="preserve">(Jacq.) Kuntze observada en Latacunga, Ecuador por Marcelo Amores Palma (Licencia: CC BY-NC 4.0).</w:t>
                  </w:r>
                  <w:r>
                    <w:t xml:space="preserve"> </w:t>
                  </w:r>
                  <w:hyperlink r:id="rId43">
                    <w:r>
                      <w:rPr>
                        <w:rStyle w:val="Hipervnculo"/>
                      </w:rPr>
                      <w:t xml:space="preserve">https://www.inaturalist.org/observations/334766621</w:t>
                    </w:r>
                  </w:hyperlink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2.1: Registros fotográficos de</w:t>
            </w:r>
            <w:r>
              <w:t xml:space="preserve"> </w:t>
            </w:r>
            <w:r>
              <w:rPr>
                <w:i/>
                <w:iCs/>
              </w:rPr>
              <w:t xml:space="preserve">Alternanthera porrigens</w:t>
            </w:r>
            <w:r>
              <w:t xml:space="preserve"> </w:t>
            </w:r>
            <w:r>
              <w:t xml:space="preserve">(Jacq.) Kuntze</w:t>
            </w:r>
          </w:p>
          <w:bookmarkEnd w:id="44"/>
        </w:tc>
      </w:tr>
    </w:tbl>
    <w:bookmarkEnd w:id="45"/>
    <w:bookmarkStart w:id="55" w:name="amaranthus-asplundii-thell."/>
    <w:p>
      <w:pPr>
        <w:pStyle w:val="Ttulo2"/>
      </w:pPr>
      <w:r>
        <w:t xml:space="preserve">2.2</w:t>
      </w:r>
      <w:r>
        <w:t xml:space="preserve"> </w:t>
      </w:r>
      <w:r>
        <w:rPr>
          <w:i/>
          <w:iCs/>
        </w:rPr>
        <w:t xml:space="preserve">Amaranthus asplundii</w:t>
      </w:r>
      <w:r>
        <w:t xml:space="preserve"> </w:t>
      </w:r>
      <w:r>
        <w:t xml:space="preserve">Thell.</w:t>
      </w:r>
    </w:p>
    <w:p>
      <w:pPr>
        <w:pStyle w:val="FirstParagraph"/>
      </w:pPr>
      <w:r>
        <w:rPr>
          <w:b/>
          <w:bCs/>
        </w:rPr>
        <w:t xml:space="preserve">Planta comunmente conocida como:</w:t>
      </w:r>
      <w:r>
        <w:t xml:space="preserve"> </w:t>
      </w:r>
      <w:r>
        <w:t xml:space="preserve">Ataco, Ataku de castilla, Bledo, Bledo blanco, Bledo macho, Bledo negro, Salig.</w:t>
      </w:r>
    </w:p>
    <w:p>
      <w:pPr>
        <w:pStyle w:val="BodyText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Alimenticio:</w:t>
      </w:r>
    </w:p>
    <w:p>
      <w:pPr>
        <w:pStyle w:val="Compact"/>
        <w:numPr>
          <w:ilvl w:val="0"/>
          <w:numId w:val="1009"/>
        </w:numPr>
      </w:pPr>
      <w:r>
        <w:t xml:space="preserve">El fruto y las hojas tiernas son comestibles, se usan en la preparación de coladas, ensaladas y morcillas de chancho.</w:t>
      </w:r>
    </w:p>
    <w:p>
      <w:pPr>
        <w:pStyle w:val="FirstParagraph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10"/>
        </w:numPr>
      </w:pPr>
      <w:r>
        <w:t xml:space="preserve">El zumo de la raíz machacada se usa para tratar el malestar producido por los cólicos.</w:t>
      </w:r>
    </w:p>
    <w:p>
      <w:pPr>
        <w:pStyle w:val="Compact"/>
        <w:numPr>
          <w:ilvl w:val="0"/>
          <w:numId w:val="1010"/>
        </w:numPr>
      </w:pPr>
      <w:r>
        <w:t xml:space="preserve">La flor en infusión y mezclada con aguardiente, se usa para tratar el resfrío.</w:t>
      </w:r>
    </w:p>
    <w:p>
      <w:pPr>
        <w:pStyle w:val="Compact"/>
        <w:numPr>
          <w:ilvl w:val="0"/>
          <w:numId w:val="1010"/>
        </w:numPr>
      </w:pPr>
      <w:r>
        <w:t xml:space="preserve">La infusión de la raíz se bebe para tratar el colerín.</w:t>
      </w:r>
    </w:p>
    <w:p>
      <w:pPr>
        <w:pStyle w:val="Compact"/>
        <w:numPr>
          <w:ilvl w:val="0"/>
          <w:numId w:val="1010"/>
        </w:numPr>
      </w:pPr>
      <w:r>
        <w:t xml:space="preserve">La raíz machacada se usa para tratar la holanda (enfermedad causada por un virus), ampollas e inflamaciones en la boca.</w:t>
      </w:r>
    </w:p>
    <w:p>
      <w:pPr>
        <w:pStyle w:val="Compact"/>
        <w:numPr>
          <w:ilvl w:val="0"/>
          <w:numId w:val="1010"/>
        </w:numPr>
      </w:pPr>
      <w:r>
        <w:t xml:space="preserve">Es carminativa.</w:t>
      </w:r>
    </w:p>
    <w:p>
      <w:pPr>
        <w:pStyle w:val="Compact"/>
        <w:numPr>
          <w:ilvl w:val="0"/>
          <w:numId w:val="1010"/>
        </w:numPr>
      </w:pPr>
      <w:r>
        <w:t xml:space="preserve">La decocción de la raíz se bebe para tratar la diarrea en los niños.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taxon-82154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3657600"/>
                        <wp:effectExtent b="0" l="0" r="0" t="0"/>
                        <wp:docPr descr="" title="" id="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248767437/medium.jpeg" id="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11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Amaranthus asplundii</w:t>
                  </w:r>
                  <w:r>
                    <w:t xml:space="preserve"> </w:t>
                  </w:r>
                  <w:r>
                    <w:t xml:space="preserve">Thell. observada en Tanicuchi, Ecuador por Marcelo Amores Palma (Licencia: CC BY-NC 4.0).</w:t>
                  </w:r>
                  <w:r>
                    <w:t xml:space="preserve"> </w:t>
                  </w:r>
                  <w:hyperlink r:id="rId49">
                    <w:r>
                      <w:rPr>
                        <w:rStyle w:val="Hipervnculo"/>
                      </w:rPr>
                      <w:t xml:space="preserve">https://www.inaturalist.org/observations/144882591</w:t>
                    </w:r>
                  </w:hyperlink>
                </w:p>
              </w:tc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3657600"/>
                        <wp:effectExtent b="0" l="0" r="0" t="0"/>
                        <wp:docPr descr="" title="" id="5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243348396/medium.jpeg" id="5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12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Amaranthus asplundii</w:t>
                  </w:r>
                  <w:r>
                    <w:t xml:space="preserve"> </w:t>
                  </w:r>
                  <w:r>
                    <w:t xml:space="preserve">Thell. observada en 68RM+M3, Tanicuchi, Ecuador por Marcelo Amores Palma (Licencia: CC BY-NC 4.0).</w:t>
                  </w:r>
                  <w:r>
                    <w:t xml:space="preserve"> </w:t>
                  </w:r>
                  <w:hyperlink r:id="rId53">
                    <w:r>
                      <w:rPr>
                        <w:rStyle w:val="Hipervnculo"/>
                      </w:rPr>
                      <w:t xml:space="preserve">https://www.inaturalist.org/observations/141982960</w:t>
                    </w:r>
                  </w:hyperlink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2.2: Registros fotográficos de</w:t>
            </w:r>
            <w:r>
              <w:t xml:space="preserve"> </w:t>
            </w:r>
            <w:r>
              <w:rPr>
                <w:i/>
                <w:iCs/>
              </w:rPr>
              <w:t xml:space="preserve">Amaranthus asplundii</w:t>
            </w:r>
            <w:r>
              <w:t xml:space="preserve"> </w:t>
            </w:r>
            <w:r>
              <w:t xml:space="preserve">Thell.</w:t>
            </w:r>
          </w:p>
          <w:bookmarkEnd w:id="54"/>
        </w:tc>
      </w:tr>
    </w:tbl>
    <w:bookmarkEnd w:id="55"/>
    <w:bookmarkStart w:id="61" w:name="amaranthus-hybridus-l."/>
    <w:p>
      <w:pPr>
        <w:pStyle w:val="Ttulo2"/>
      </w:pPr>
      <w:r>
        <w:t xml:space="preserve">2.3</w:t>
      </w:r>
      <w:r>
        <w:t xml:space="preserve"> </w:t>
      </w:r>
      <w:r>
        <w:rPr>
          <w:i/>
          <w:iCs/>
        </w:rPr>
        <w:t xml:space="preserve">Amaranthus hybridus</w:t>
      </w:r>
      <w:r>
        <w:t xml:space="preserve"> </w:t>
      </w:r>
      <w:r>
        <w:t xml:space="preserve">L.</w:t>
      </w:r>
    </w:p>
    <w:p>
      <w:pPr>
        <w:pStyle w:val="FirstParagraph"/>
      </w:pPr>
      <w:r>
        <w:rPr>
          <w:b/>
          <w:bCs/>
        </w:rPr>
        <w:t xml:space="preserve">Planta comunmente conocida como:</w:t>
      </w:r>
      <w:r>
        <w:t xml:space="preserve"> </w:t>
      </w:r>
      <w:r>
        <w:t xml:space="preserve">Ataku, Sankurachi, Ataco, Bledo.</w:t>
      </w:r>
    </w:p>
    <w:p>
      <w:pPr>
        <w:pStyle w:val="BodyText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Alimenticio:</w:t>
      </w:r>
    </w:p>
    <w:p>
      <w:pPr>
        <w:pStyle w:val="Compact"/>
        <w:numPr>
          <w:ilvl w:val="0"/>
          <w:numId w:val="1013"/>
        </w:numPr>
      </w:pPr>
      <w:r>
        <w:t xml:space="preserve">Las hojas son comestibles, se consumen fritas con maní, en encurtidos y en ensaladas.</w:t>
      </w:r>
    </w:p>
    <w:p>
      <w:pPr>
        <w:pStyle w:val="FirstParagraph"/>
      </w:pPr>
      <w:r>
        <w:rPr>
          <w:b/>
          <w:bCs/>
        </w:rPr>
        <w:t xml:space="preserve">Aditivo de los alimentos:</w:t>
      </w:r>
    </w:p>
    <w:p>
      <w:pPr>
        <w:pStyle w:val="Compact"/>
        <w:numPr>
          <w:ilvl w:val="0"/>
          <w:numId w:val="1014"/>
        </w:numPr>
      </w:pPr>
      <w:r>
        <w:t xml:space="preserve">La flor y las hojas se usan como colorante en la preparación de la colada morada, durante la fiesta de los difuntos.</w:t>
      </w:r>
    </w:p>
    <w:p>
      <w:pPr>
        <w:pStyle w:val="Compact"/>
        <w:numPr>
          <w:ilvl w:val="0"/>
          <w:numId w:val="1014"/>
        </w:numPr>
      </w:pPr>
      <w:r>
        <w:t xml:space="preserve">Se mezcla con harina de maíz negro y se fermenta.</w:t>
      </w:r>
    </w:p>
    <w:p>
      <w:pPr>
        <w:pStyle w:val="Compact"/>
        <w:numPr>
          <w:ilvl w:val="0"/>
          <w:numId w:val="1014"/>
        </w:numPr>
      </w:pPr>
      <w:r>
        <w:t xml:space="preserve">Se usa como colorante de mermeladas, como condimento y para preparar embutidos de cerdo (morcillas).</w:t>
      </w:r>
    </w:p>
    <w:p>
      <w:pPr>
        <w:pStyle w:val="FirstParagraph"/>
      </w:pPr>
      <w:r>
        <w:rPr>
          <w:b/>
          <w:bCs/>
        </w:rPr>
        <w:t xml:space="preserve">Materiales:</w:t>
      </w:r>
    </w:p>
    <w:p>
      <w:pPr>
        <w:pStyle w:val="Compact"/>
        <w:numPr>
          <w:ilvl w:val="0"/>
          <w:numId w:val="1015"/>
        </w:numPr>
      </w:pPr>
      <w:r>
        <w:t xml:space="preserve">La flor hervida y mezclada con “puma maki”, se usa como tinte.</w:t>
      </w:r>
    </w:p>
    <w:p>
      <w:pPr>
        <w:pStyle w:val="FirstParagraph"/>
      </w:pPr>
      <w:r>
        <w:rPr>
          <w:b/>
          <w:bCs/>
        </w:rPr>
        <w:t xml:space="preserve">Social:</w:t>
      </w:r>
    </w:p>
    <w:p>
      <w:pPr>
        <w:pStyle w:val="Compact"/>
        <w:numPr>
          <w:ilvl w:val="0"/>
          <w:numId w:val="1016"/>
        </w:numPr>
      </w:pPr>
      <w:r>
        <w:t xml:space="preserve">La planta en infusión, se usa para limpiar la sangre.</w:t>
      </w:r>
    </w:p>
    <w:p>
      <w:pPr>
        <w:pStyle w:val="Compact"/>
        <w:numPr>
          <w:ilvl w:val="0"/>
          <w:numId w:val="1016"/>
        </w:numPr>
      </w:pPr>
      <w:r>
        <w:t xml:space="preserve">Junto con Guilleminea densa, Alternanthera porrigens, Margyricarpus pinnatus, Asplenium monanthes y Muehlenbeckia tamnifolia, es útil para las mujeres después del parto como lavador de sangre.</w:t>
      </w:r>
    </w:p>
    <w:p>
      <w:pPr>
        <w:pStyle w:val="FirstParagraph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17"/>
        </w:numPr>
      </w:pPr>
      <w:r>
        <w:t xml:space="preserve">La planta entera en infusión, se usa para tratar ataques.</w:t>
      </w:r>
    </w:p>
    <w:p>
      <w:pPr>
        <w:pStyle w:val="Compact"/>
        <w:numPr>
          <w:ilvl w:val="0"/>
          <w:numId w:val="1017"/>
        </w:numPr>
      </w:pPr>
      <w:r>
        <w:t xml:space="preserve">La planta entera en infusión, se usa para controlar los nervios.</w:t>
      </w:r>
    </w:p>
    <w:p>
      <w:pPr>
        <w:pStyle w:val="Compact"/>
        <w:numPr>
          <w:ilvl w:val="0"/>
          <w:numId w:val="1017"/>
        </w:numPr>
      </w:pPr>
      <w:r>
        <w:t xml:space="preserve">La planta entera en infusión, se usa para purgar a las personas que tienen muchos granos y espinillas.</w:t>
      </w:r>
    </w:p>
    <w:p>
      <w:pPr>
        <w:pStyle w:val="Compact"/>
        <w:numPr>
          <w:ilvl w:val="0"/>
          <w:numId w:val="1017"/>
        </w:numPr>
      </w:pPr>
      <w:r>
        <w:t xml:space="preserve">Es carminativo.</w:t>
      </w:r>
    </w:p>
    <w:p>
      <w:pPr>
        <w:pStyle w:val="Compact"/>
        <w:numPr>
          <w:ilvl w:val="0"/>
          <w:numId w:val="1017"/>
        </w:numPr>
      </w:pPr>
      <w:r>
        <w:t xml:space="preserve">Útil para regular la menstruación.</w:t>
      </w:r>
    </w:p>
    <w:p>
      <w:pPr>
        <w:pStyle w:val="Compact"/>
        <w:numPr>
          <w:ilvl w:val="0"/>
          <w:numId w:val="1017"/>
        </w:numPr>
      </w:pPr>
      <w:r>
        <w:t xml:space="preserve">Se emplea para tratar afecciones del corazón.</w:t>
      </w:r>
    </w:p>
    <w:p>
      <w:pPr>
        <w:pStyle w:val="Compact"/>
        <w:numPr>
          <w:ilvl w:val="0"/>
          <w:numId w:val="1017"/>
        </w:numPr>
      </w:pPr>
      <w:r>
        <w:t xml:space="preserve">La infusión de la planta se toma con miel para tratar la “inflamación del frío”.</w:t>
      </w:r>
    </w:p>
    <w:p>
      <w:pPr>
        <w:pStyle w:val="Compact"/>
        <w:numPr>
          <w:ilvl w:val="0"/>
          <w:numId w:val="1017"/>
        </w:numPr>
      </w:pPr>
      <w:r>
        <w:t xml:space="preserve">Es utilizada para tratar la diarrea.</w:t>
      </w:r>
    </w:p>
    <w:p>
      <w:pPr>
        <w:pStyle w:val="Compact"/>
        <w:numPr>
          <w:ilvl w:val="0"/>
          <w:numId w:val="1017"/>
        </w:numPr>
      </w:pPr>
      <w:r>
        <w:t xml:space="preserve">Es utilizada para purgar a fin de limpiar el sistema digestivo.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obs-71943648"/>
          <w:p>
            <w:pPr>
              <w:pStyle w:val="Compact"/>
              <w:jc w:val="center"/>
            </w:pPr>
            <w:r>
              <w:drawing>
                <wp:inline>
                  <wp:extent cx="5349240" cy="401193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https://inaturalist-open-data.s3.amazonaws.com/photos/117213467/medium.jpe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9240" cy="4011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2.3:</w:t>
            </w:r>
            <w:r>
              <w:t xml:space="preserve"> </w:t>
            </w:r>
            <w:r>
              <w:rPr>
                <w:i/>
                <w:iCs/>
              </w:rPr>
              <w:t xml:space="preserve">Amaranthus cruentus</w:t>
            </w:r>
            <w:r>
              <w:t xml:space="preserve"> </w:t>
            </w:r>
            <w:r>
              <w:t xml:space="preserve">L. observada en Tanicuchi, Ecuador por Marcelo Amores Palma (Licencia: CC BY-NC 4.0).</w:t>
            </w:r>
            <w:r>
              <w:t xml:space="preserve"> </w:t>
            </w:r>
            <w:hyperlink r:id="rId59">
              <w:r>
                <w:rPr>
                  <w:rStyle w:val="Hipervnculo"/>
                </w:rPr>
                <w:t xml:space="preserve">https://www.inaturalist.org/observations/71943648</w:t>
              </w:r>
            </w:hyperlink>
          </w:p>
          <w:bookmarkEnd w:id="60"/>
        </w:tc>
      </w:tr>
    </w:tbl>
    <w:bookmarkEnd w:id="61"/>
    <w:bookmarkStart w:id="71" w:name="guilleminea-densa-willd.-moq."/>
    <w:p>
      <w:pPr>
        <w:pStyle w:val="Ttulo2"/>
      </w:pPr>
      <w:r>
        <w:t xml:space="preserve">2.4</w:t>
      </w:r>
      <w:r>
        <w:t xml:space="preserve"> </w:t>
      </w:r>
      <w:r>
        <w:rPr>
          <w:i/>
          <w:iCs/>
        </w:rPr>
        <w:t xml:space="preserve">Guilleminea densa</w:t>
      </w:r>
      <w:r>
        <w:t xml:space="preserve"> </w:t>
      </w:r>
      <w:r>
        <w:t xml:space="preserve">(Willd.) Moq.</w:t>
      </w:r>
    </w:p>
    <w:p>
      <w:pPr>
        <w:pStyle w:val="FirstParagraph"/>
      </w:pPr>
      <w:r>
        <w:rPr>
          <w:b/>
          <w:bCs/>
        </w:rPr>
        <w:t xml:space="preserve">Planta comunmente conocida como:</w:t>
      </w:r>
      <w:r>
        <w:t xml:space="preserve"> </w:t>
      </w:r>
      <w:r>
        <w:t xml:space="preserve">Kuchi ataku, Sankiwana, Alfombrilla, Felpa, Sanguinaria, Huagroma.</w:t>
      </w:r>
    </w:p>
    <w:p>
      <w:pPr>
        <w:pStyle w:val="BodyText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18"/>
        </w:numPr>
      </w:pPr>
      <w:r>
        <w:t xml:space="preserve">La infusión de la planta, en particular de las raíces, se usa para aliviar malestares femeninos y para regular la sangre.</w:t>
      </w:r>
    </w:p>
    <w:p>
      <w:pPr>
        <w:pStyle w:val="Compact"/>
        <w:numPr>
          <w:ilvl w:val="0"/>
          <w:numId w:val="1018"/>
        </w:numPr>
      </w:pPr>
      <w:r>
        <w:t xml:space="preserve">Junto con Alternanthera porrigens, Amaranthus hybridus, Margyricarpus pinnatus, Asplenium monanthes y Muehlenbeckia tamnifolia, es útil para las mujeres después del parto como lavador de sangre.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taxon-7730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3657600"/>
                        <wp:effectExtent b="0" l="0" r="0" t="0"/>
                        <wp:docPr descr="" title="" id="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251842430/medium.jpeg" id="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19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Guilleminea densa</w:t>
                  </w:r>
                  <w:r>
                    <w:t xml:space="preserve"> </w:t>
                  </w:r>
                  <w:r>
                    <w:t xml:space="preserve">(Willd.) Moq. observada en Once de Noviembre y Latacunga, Ecuador por Marcelo Amores Palma (Licencia: CC BY-NC 4.0).</w:t>
                  </w:r>
                  <w:r>
                    <w:t xml:space="preserve"> </w:t>
                  </w:r>
                  <w:hyperlink r:id="rId65">
                    <w:r>
                      <w:rPr>
                        <w:rStyle w:val="Hipervnculo"/>
                      </w:rPr>
                      <w:t xml:space="preserve">https://www.inaturalist.org/observations/146479259</w:t>
                    </w:r>
                  </w:hyperlink>
                </w:p>
              </w:tc>
              <w:tc>
                <w:tcPr/>
                <w:p>
                  <w:pPr>
                    <w:jc w:val="center"/>
                  </w:pPr>
                  <w:r>
                    <w:drawing>
                      <wp:inline>
                        <wp:extent cx="2743200" cy="3657600"/>
                        <wp:effectExtent b="0" l="0" r="0" t="0"/>
                        <wp:docPr descr="" title="" id="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https://inaturalist-open-data.s3.amazonaws.com/photos/251778937/medium.jpeg" id="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43200" cy="3657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ompact"/>
                    <w:numPr>
                      <w:ilvl w:val="0"/>
                      <w:numId w:val="1020"/>
                    </w:numPr>
                    <w:jc w:val="center"/>
                  </w:pPr>
                  <w:r>
                    <w:rPr>
                      <w:i/>
                      <w:iCs/>
                    </w:rPr>
                    <w:t xml:space="preserve">Guilleminea densa</w:t>
                  </w:r>
                  <w:r>
                    <w:t xml:space="preserve"> </w:t>
                  </w:r>
                  <w:r>
                    <w:t xml:space="preserve">(Willd.) Moq. observada en Danecu y Santiago Zamora, Ecuador por Marcelo Amores Palma (Licencia: CC BY-NC 4.0).</w:t>
                  </w:r>
                  <w:r>
                    <w:t xml:space="preserve"> </w:t>
                  </w:r>
                  <w:hyperlink r:id="rId69">
                    <w:r>
                      <w:rPr>
                        <w:rStyle w:val="Hipervnculo"/>
                      </w:rPr>
                      <w:t xml:space="preserve">https://www.inaturalist.org/observations/146446385</w:t>
                    </w:r>
                  </w:hyperlink>
                </w:p>
              </w:tc>
            </w:tr>
          </w:tbl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2.4: Registros fotográficos de</w:t>
            </w:r>
            <w:r>
              <w:t xml:space="preserve"> </w:t>
            </w:r>
            <w:r>
              <w:rPr>
                <w:i/>
                <w:iCs/>
              </w:rPr>
              <w:t xml:space="preserve">Guilleminea densa</w:t>
            </w:r>
            <w:r>
              <w:t xml:space="preserve"> </w:t>
            </w:r>
            <w:r>
              <w:t xml:space="preserve">(Willd.) Moq.</w:t>
            </w:r>
          </w:p>
          <w:bookmarkEnd w:id="70"/>
        </w:tc>
      </w:tr>
    </w:tbl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End w:id="71"/>
    <w:bookmarkStart w:id="72" w:name="referencias-1"/>
    <w:p>
      <w:pPr>
        <w:pStyle w:val="Ttulo2"/>
      </w:pPr>
      <w:r>
        <w:t xml:space="preserve">Referencias</w:t>
      </w:r>
    </w:p>
    <w:bookmarkEnd w:id="72"/>
    <w:bookmarkEnd w:id="73"/>
    <w:bookmarkStart w:id="75" w:name="amaryllidaceae"/>
    <w:p>
      <w:pPr>
        <w:pStyle w:val="Ttulo1"/>
      </w:pPr>
      <w:r>
        <w:t xml:space="preserve">3. Amaryllidaceae</w:t>
      </w:r>
    </w:p>
    <w:bookmarkStart w:id="74" w:name="stenomesson-aurantiacum-kunth-herb."/>
    <w:p>
      <w:pPr>
        <w:pStyle w:val="Ttulo2"/>
      </w:pPr>
      <w:r>
        <w:t xml:space="preserve">3.1</w:t>
      </w:r>
      <w:r>
        <w:t xml:space="preserve"> </w:t>
      </w:r>
      <w:r>
        <w:rPr>
          <w:i/>
          <w:iCs/>
        </w:rPr>
        <w:t xml:space="preserve">Stenomesson aurantiacum</w:t>
      </w:r>
      <w:r>
        <w:t xml:space="preserve"> </w:t>
      </w:r>
      <w:r>
        <w:t xml:space="preserve">(Kunth) Herb.</w:t>
      </w:r>
    </w:p>
    <w:p>
      <w:pPr>
        <w:pStyle w:val="FirstParagraph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21"/>
        </w:numPr>
      </w:pPr>
      <w:r>
        <w:t xml:space="preserve">Los vástagos de la planta contienen sustancias, todavía no identificadas, que actúan como purgantes drásticos.</w:t>
      </w:r>
    </w:p>
    <w:bookmarkEnd w:id="74"/>
    <w:bookmarkEnd w:id="75"/>
    <w:bookmarkStart w:id="77" w:name="apiaceae"/>
    <w:p>
      <w:pPr>
        <w:pStyle w:val="Ttulo1"/>
      </w:pPr>
      <w:r>
        <w:t xml:space="preserve">4. Apiaceae</w:t>
      </w:r>
    </w:p>
    <w:bookmarkStart w:id="76" w:name="stenomesson-aurantiacum-kunth-herb.-1"/>
    <w:p>
      <w:pPr>
        <w:pStyle w:val="Ttulo2"/>
      </w:pPr>
      <w:r>
        <w:t xml:space="preserve">4.1</w:t>
      </w:r>
      <w:r>
        <w:t xml:space="preserve"> </w:t>
      </w:r>
      <w:r>
        <w:rPr>
          <w:i/>
          <w:iCs/>
        </w:rPr>
        <w:t xml:space="preserve">Stenomesson aurantiacum</w:t>
      </w:r>
      <w:r>
        <w:t xml:space="preserve"> </w:t>
      </w:r>
      <w:r>
        <w:t xml:space="preserve">(Kunth) Herb.</w:t>
      </w:r>
    </w:p>
    <w:p>
      <w:pPr>
        <w:pStyle w:val="FirstParagraph"/>
      </w:pPr>
      <w:r>
        <w:rPr>
          <w:b/>
          <w:bCs/>
        </w:rPr>
        <w:t xml:space="preserve">Susceptibilidad de uso y aprovechamiento sostenible</w:t>
      </w:r>
    </w:p>
    <w:p>
      <w:pPr>
        <w:pStyle w:val="BodyText"/>
      </w:pPr>
      <w:r>
        <w:rPr>
          <w:b/>
          <w:bCs/>
        </w:rPr>
        <w:t xml:space="preserve">Medicinal:</w:t>
      </w:r>
    </w:p>
    <w:p>
      <w:pPr>
        <w:pStyle w:val="Compact"/>
        <w:numPr>
          <w:ilvl w:val="0"/>
          <w:numId w:val="1022"/>
        </w:numPr>
      </w:pPr>
      <w:r>
        <w:t xml:space="preserve">Los vástagos de la planta contienen sustancias, todavía no identificadas, que actúan como purgantes drásticos.</w:t>
      </w:r>
    </w:p>
    <w:bookmarkEnd w:id="76"/>
    <w:bookmarkEnd w:id="77"/>
    <w:bookmarkStart w:id="79" w:name="araliaceae"/>
    <w:p>
      <w:pPr>
        <w:pStyle w:val="Ttulo1"/>
      </w:pPr>
      <w:r>
        <w:t xml:space="preserve">5. Araliaceae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78" w:name="referencias-2"/>
    <w:p>
      <w:pPr>
        <w:pStyle w:val="Ttulo2"/>
      </w:pPr>
      <w:r>
        <w:t xml:space="preserve">Referencias</w:t>
      </w:r>
    </w:p>
    <w:bookmarkEnd w:id="78"/>
    <w:bookmarkEnd w:id="79"/>
    <w:bookmarkStart w:id="81" w:name="aspleniaceae"/>
    <w:p>
      <w:pPr>
        <w:pStyle w:val="Ttulo1"/>
      </w:pPr>
      <w:r>
        <w:t xml:space="preserve">6. Aspleniaceae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80" w:name="referencias-3"/>
    <w:p>
      <w:pPr>
        <w:pStyle w:val="Ttulo2"/>
      </w:pPr>
      <w:r>
        <w:t xml:space="preserve">Referencias</w:t>
      </w:r>
    </w:p>
    <w:bookmarkEnd w:id="80"/>
    <w:bookmarkEnd w:id="81"/>
    <w:bookmarkStart w:id="83" w:name="asteraceae"/>
    <w:p>
      <w:pPr>
        <w:pStyle w:val="Ttulo1"/>
      </w:pPr>
      <w:r>
        <w:t xml:space="preserve">7. Asteraceae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82" w:name="referencias-4"/>
    <w:p>
      <w:pPr>
        <w:pStyle w:val="Ttulo2"/>
      </w:pPr>
      <w:r>
        <w:t xml:space="preserve">Referencias</w:t>
      </w:r>
    </w:p>
    <w:bookmarkEnd w:id="82"/>
    <w:bookmarkEnd w:id="83"/>
    <w:bookmarkStart w:id="85" w:name="berberidaceae"/>
    <w:p>
      <w:pPr>
        <w:pStyle w:val="Ttulo1"/>
      </w:pPr>
      <w:r>
        <w:t xml:space="preserve">8. Berberidaceae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84" w:name="referencias-5"/>
    <w:p>
      <w:pPr>
        <w:pStyle w:val="Ttulo2"/>
      </w:pPr>
      <w:r>
        <w:t xml:space="preserve">Referencias</w:t>
      </w:r>
    </w:p>
    <w:bookmarkEnd w:id="84"/>
    <w:bookmarkEnd w:id="85"/>
    <w:bookmarkStart w:id="87" w:name="brassicaceae"/>
    <w:p>
      <w:pPr>
        <w:pStyle w:val="Ttulo1"/>
      </w:pPr>
      <w:r>
        <w:t xml:space="preserve">9. Brassicaceae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86" w:name="referencias-6"/>
    <w:p>
      <w:pPr>
        <w:pStyle w:val="Ttulo2"/>
      </w:pPr>
      <w:r>
        <w:t xml:space="preserve">Referencias</w:t>
      </w:r>
    </w:p>
    <w:bookmarkEnd w:id="86"/>
    <w:bookmarkEnd w:id="87"/>
    <w:bookmarkStart w:id="89" w:name="bromeliaceae"/>
    <w:p>
      <w:pPr>
        <w:pStyle w:val="Ttulo1"/>
      </w:pPr>
      <w:r>
        <w:t xml:space="preserve">10. Bromeliaceae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88" w:name="referencias-7"/>
    <w:p>
      <w:pPr>
        <w:pStyle w:val="Ttulo2"/>
      </w:pPr>
      <w:r>
        <w:t xml:space="preserve">Referencias</w:t>
      </w:r>
    </w:p>
    <w:bookmarkEnd w:id="88"/>
    <w:bookmarkEnd w:id="89"/>
    <w:bookmarkStart w:id="91" w:name="calceolariaceae"/>
    <w:p>
      <w:pPr>
        <w:pStyle w:val="Ttulo1"/>
      </w:pPr>
      <w:r>
        <w:t xml:space="preserve">11. Calceolariaceae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90" w:name="referencias-8"/>
    <w:p>
      <w:pPr>
        <w:pStyle w:val="Ttulo2"/>
      </w:pPr>
      <w:r>
        <w:t xml:space="preserve">Referencias</w:t>
      </w:r>
    </w:p>
    <w:bookmarkEnd w:id="90"/>
    <w:bookmarkEnd w:id="91"/>
    <w:bookmarkStart w:id="93" w:name="campanulaceae"/>
    <w:p>
      <w:pPr>
        <w:pStyle w:val="Ttulo1"/>
      </w:pPr>
      <w:r>
        <w:t xml:space="preserve">12. Campanulaceae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92" w:name="referencias-9"/>
    <w:p>
      <w:pPr>
        <w:pStyle w:val="Ttulo2"/>
      </w:pPr>
      <w:r>
        <w:t xml:space="preserve">Referencias</w:t>
      </w:r>
    </w:p>
    <w:bookmarkEnd w:id="92"/>
    <w:bookmarkEnd w:id="93"/>
    <w:bookmarkStart w:id="95" w:name="caprifoliaceae"/>
    <w:p>
      <w:pPr>
        <w:pStyle w:val="Ttulo1"/>
      </w:pPr>
      <w:r>
        <w:t xml:space="preserve">13. Caprifoliaceae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94" w:name="referencias-10"/>
    <w:p>
      <w:pPr>
        <w:pStyle w:val="Ttulo2"/>
      </w:pPr>
      <w:r>
        <w:t xml:space="preserve">Referencias</w:t>
      </w:r>
    </w:p>
    <w:bookmarkEnd w:id="94"/>
    <w:bookmarkEnd w:id="95"/>
    <w:bookmarkStart w:id="97" w:name="caryophyllaceae"/>
    <w:p>
      <w:pPr>
        <w:pStyle w:val="Ttulo1"/>
      </w:pPr>
      <w:r>
        <w:t xml:space="preserve">14. Caryophyllaceae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96" w:name="referencias-11"/>
    <w:p>
      <w:pPr>
        <w:pStyle w:val="Ttulo2"/>
      </w:pPr>
      <w:r>
        <w:t xml:space="preserve">Referencias</w:t>
      </w:r>
    </w:p>
    <w:bookmarkEnd w:id="96"/>
    <w:bookmarkEnd w:id="97"/>
    <w:bookmarkStart w:id="99" w:name="coriariaceae"/>
    <w:p>
      <w:pPr>
        <w:pStyle w:val="Ttulo1"/>
      </w:pPr>
      <w:r>
        <w:t xml:space="preserve">15. Coriariaceae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98" w:name="referencias-12"/>
    <w:p>
      <w:pPr>
        <w:pStyle w:val="Ttulo2"/>
      </w:pPr>
      <w:r>
        <w:t xml:space="preserve">Referencias</w:t>
      </w:r>
    </w:p>
    <w:bookmarkEnd w:id="98"/>
    <w:bookmarkEnd w:id="99"/>
    <w:bookmarkStart w:id="101" w:name="cyperaceae"/>
    <w:p>
      <w:pPr>
        <w:pStyle w:val="Ttulo1"/>
      </w:pPr>
      <w:r>
        <w:t xml:space="preserve">16. Cyperaceae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00" w:name="referencias-13"/>
    <w:p>
      <w:pPr>
        <w:pStyle w:val="Ttulo2"/>
      </w:pPr>
      <w:r>
        <w:t xml:space="preserve">Referencias</w:t>
      </w:r>
    </w:p>
    <w:bookmarkEnd w:id="100"/>
    <w:bookmarkEnd w:id="101"/>
    <w:bookmarkStart w:id="103" w:name="dryopteridaceae"/>
    <w:p>
      <w:pPr>
        <w:pStyle w:val="Ttulo1"/>
      </w:pPr>
      <w:r>
        <w:t xml:space="preserve">17. Dryopteridaceae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02" w:name="referencias-14"/>
    <w:p>
      <w:pPr>
        <w:pStyle w:val="Ttulo2"/>
      </w:pPr>
      <w:r>
        <w:t xml:space="preserve">Referencias</w:t>
      </w:r>
    </w:p>
    <w:bookmarkEnd w:id="102"/>
    <w:bookmarkEnd w:id="103"/>
    <w:bookmarkStart w:id="105" w:name="elaeocarpaceae"/>
    <w:p>
      <w:pPr>
        <w:pStyle w:val="Ttulo1"/>
      </w:pPr>
      <w:r>
        <w:t xml:space="preserve">18. Elaeocarpaceae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04" w:name="referencias-15"/>
    <w:p>
      <w:pPr>
        <w:pStyle w:val="Ttulo2"/>
      </w:pPr>
      <w:r>
        <w:t xml:space="preserve">Referencias</w:t>
      </w:r>
    </w:p>
    <w:bookmarkEnd w:id="104"/>
    <w:bookmarkEnd w:id="105"/>
    <w:bookmarkStart w:id="107" w:name="ephedraceae"/>
    <w:p>
      <w:pPr>
        <w:pStyle w:val="Ttulo1"/>
      </w:pPr>
      <w:r>
        <w:t xml:space="preserve">19. Ephedraceae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06" w:name="referencias-16"/>
    <w:p>
      <w:pPr>
        <w:pStyle w:val="Ttulo2"/>
      </w:pPr>
      <w:r>
        <w:t xml:space="preserve">Referencias</w:t>
      </w:r>
    </w:p>
    <w:bookmarkEnd w:id="106"/>
    <w:bookmarkEnd w:id="107"/>
    <w:bookmarkStart w:id="109" w:name="equisetaceae"/>
    <w:p>
      <w:pPr>
        <w:pStyle w:val="Ttulo1"/>
      </w:pPr>
      <w:r>
        <w:t xml:space="preserve">20. Equisetaceae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08" w:name="referencias-17"/>
    <w:p>
      <w:pPr>
        <w:pStyle w:val="Ttulo2"/>
      </w:pPr>
      <w:r>
        <w:t xml:space="preserve">Referencias</w:t>
      </w:r>
    </w:p>
    <w:bookmarkEnd w:id="108"/>
    <w:bookmarkEnd w:id="109"/>
    <w:bookmarkStart w:id="111" w:name="ericaceae"/>
    <w:p>
      <w:pPr>
        <w:pStyle w:val="Ttulo1"/>
      </w:pPr>
      <w:r>
        <w:t xml:space="preserve">21. Ericaceae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10" w:name="referencias-18"/>
    <w:p>
      <w:pPr>
        <w:pStyle w:val="Ttulo2"/>
      </w:pPr>
      <w:r>
        <w:t xml:space="preserve">Referencias</w:t>
      </w:r>
    </w:p>
    <w:bookmarkEnd w:id="110"/>
    <w:bookmarkEnd w:id="111"/>
    <w:bookmarkStart w:id="113" w:name="escalloniaceae"/>
    <w:p>
      <w:pPr>
        <w:pStyle w:val="Ttulo1"/>
      </w:pPr>
      <w:r>
        <w:t xml:space="preserve">22. Escalloniaceae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12" w:name="referencias-19"/>
    <w:p>
      <w:pPr>
        <w:pStyle w:val="Ttulo2"/>
      </w:pPr>
      <w:r>
        <w:t xml:space="preserve">Referencias</w:t>
      </w:r>
    </w:p>
    <w:bookmarkEnd w:id="112"/>
    <w:bookmarkEnd w:id="113"/>
    <w:bookmarkStart w:id="115" w:name="euphorbiaceae"/>
    <w:p>
      <w:pPr>
        <w:pStyle w:val="Ttulo1"/>
      </w:pPr>
      <w:r>
        <w:t xml:space="preserve">23. Euphorbiaceae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14" w:name="referencias-20"/>
    <w:p>
      <w:pPr>
        <w:pStyle w:val="Ttulo2"/>
      </w:pPr>
      <w:r>
        <w:t xml:space="preserve">Referencias</w:t>
      </w:r>
    </w:p>
    <w:bookmarkEnd w:id="114"/>
    <w:bookmarkEnd w:id="115"/>
    <w:bookmarkStart w:id="117" w:name="fabaceae"/>
    <w:p>
      <w:pPr>
        <w:pStyle w:val="Ttulo1"/>
      </w:pPr>
      <w:r>
        <w:t xml:space="preserve">24. Fabaceae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16" w:name="referencias-21"/>
    <w:p>
      <w:pPr>
        <w:pStyle w:val="Ttulo2"/>
      </w:pPr>
      <w:r>
        <w:t xml:space="preserve">Referencias</w:t>
      </w:r>
    </w:p>
    <w:bookmarkEnd w:id="116"/>
    <w:bookmarkEnd w:id="117"/>
    <w:bookmarkStart w:id="119" w:name="gentianaceae"/>
    <w:p>
      <w:pPr>
        <w:pStyle w:val="Ttulo1"/>
      </w:pPr>
      <w:r>
        <w:t xml:space="preserve">25. Gentianaceae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18" w:name="referencias-22"/>
    <w:p>
      <w:pPr>
        <w:pStyle w:val="Ttulo2"/>
      </w:pPr>
      <w:r>
        <w:t xml:space="preserve">Referencias</w:t>
      </w:r>
    </w:p>
    <w:bookmarkEnd w:id="118"/>
    <w:bookmarkEnd w:id="119"/>
    <w:bookmarkStart w:id="121" w:name="geraniaceae"/>
    <w:p>
      <w:pPr>
        <w:pStyle w:val="Ttulo1"/>
      </w:pPr>
      <w:r>
        <w:t xml:space="preserve">26. Geraniaceae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20" w:name="referencias-23"/>
    <w:p>
      <w:pPr>
        <w:pStyle w:val="Ttulo2"/>
      </w:pPr>
      <w:r>
        <w:t xml:space="preserve">Referencias</w:t>
      </w:r>
    </w:p>
    <w:bookmarkEnd w:id="120"/>
    <w:bookmarkEnd w:id="121"/>
    <w:bookmarkStart w:id="123" w:name="grossulariaceae"/>
    <w:p>
      <w:pPr>
        <w:pStyle w:val="Ttulo1"/>
      </w:pPr>
      <w:r>
        <w:t xml:space="preserve">27. Grossulariaceae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22" w:name="referencias-24"/>
    <w:p>
      <w:pPr>
        <w:pStyle w:val="Ttulo2"/>
      </w:pPr>
      <w:r>
        <w:t xml:space="preserve">Referencias</w:t>
      </w:r>
    </w:p>
    <w:bookmarkEnd w:id="122"/>
    <w:bookmarkEnd w:id="123"/>
    <w:bookmarkStart w:id="125" w:name="gunneraceae"/>
    <w:p>
      <w:pPr>
        <w:pStyle w:val="Ttulo1"/>
      </w:pPr>
      <w:r>
        <w:t xml:space="preserve">28. Gunneraceae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24" w:name="referencias-25"/>
    <w:p>
      <w:pPr>
        <w:pStyle w:val="Ttulo2"/>
      </w:pPr>
      <w:r>
        <w:t xml:space="preserve">Referencias</w:t>
      </w:r>
    </w:p>
    <w:bookmarkEnd w:id="124"/>
    <w:bookmarkEnd w:id="125"/>
    <w:bookmarkStart w:id="127" w:name="hypericaceae"/>
    <w:p>
      <w:pPr>
        <w:pStyle w:val="Ttulo1"/>
      </w:pPr>
      <w:r>
        <w:t xml:space="preserve">29. Hypericaceae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26" w:name="referencias-26"/>
    <w:p>
      <w:pPr>
        <w:pStyle w:val="Ttulo2"/>
      </w:pPr>
      <w:r>
        <w:t xml:space="preserve">Referencias</w:t>
      </w:r>
    </w:p>
    <w:bookmarkEnd w:id="126"/>
    <w:bookmarkEnd w:id="127"/>
    <w:bookmarkStart w:id="129" w:name="iridaceae"/>
    <w:p>
      <w:pPr>
        <w:pStyle w:val="Ttulo1"/>
      </w:pPr>
      <w:r>
        <w:t xml:space="preserve">30. Iridaceae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28" w:name="referencias-27"/>
    <w:p>
      <w:pPr>
        <w:pStyle w:val="Ttulo2"/>
      </w:pPr>
      <w:r>
        <w:t xml:space="preserve">Referencias</w:t>
      </w:r>
    </w:p>
    <w:bookmarkEnd w:id="128"/>
    <w:bookmarkEnd w:id="129"/>
    <w:bookmarkStart w:id="131" w:name="juncaceae"/>
    <w:p>
      <w:pPr>
        <w:pStyle w:val="Ttulo1"/>
      </w:pPr>
      <w:r>
        <w:t xml:space="preserve">31. Juncaceae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30" w:name="referencias-28"/>
    <w:p>
      <w:pPr>
        <w:pStyle w:val="Ttulo2"/>
      </w:pPr>
      <w:r>
        <w:t xml:space="preserve">Referencias</w:t>
      </w:r>
    </w:p>
    <w:bookmarkEnd w:id="130"/>
    <w:bookmarkEnd w:id="131"/>
    <w:bookmarkStart w:id="133" w:name="lamiaceae"/>
    <w:p>
      <w:pPr>
        <w:pStyle w:val="Ttulo1"/>
      </w:pPr>
      <w:r>
        <w:t xml:space="preserve">32. Lamiaceae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32" w:name="referencias-29"/>
    <w:p>
      <w:pPr>
        <w:pStyle w:val="Ttulo2"/>
      </w:pPr>
      <w:r>
        <w:t xml:space="preserve">Referencias</w:t>
      </w:r>
    </w:p>
    <w:bookmarkEnd w:id="132"/>
    <w:bookmarkEnd w:id="133"/>
    <w:bookmarkStart w:id="135" w:name="loranthaceae"/>
    <w:p>
      <w:pPr>
        <w:pStyle w:val="Ttulo1"/>
      </w:pPr>
      <w:r>
        <w:t xml:space="preserve">33. Loranthaceae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34" w:name="referencias-30"/>
    <w:p>
      <w:pPr>
        <w:pStyle w:val="Ttulo2"/>
      </w:pPr>
      <w:r>
        <w:t xml:space="preserve">Referencias</w:t>
      </w:r>
    </w:p>
    <w:bookmarkEnd w:id="134"/>
    <w:bookmarkEnd w:id="135"/>
    <w:bookmarkStart w:id="137" w:name="lycopodiaceae"/>
    <w:p>
      <w:pPr>
        <w:pStyle w:val="Ttulo1"/>
      </w:pPr>
      <w:r>
        <w:t xml:space="preserve">34. Lycopodiaceae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36" w:name="referencias-31"/>
    <w:p>
      <w:pPr>
        <w:pStyle w:val="Ttulo2"/>
      </w:pPr>
      <w:r>
        <w:t xml:space="preserve">Referencias</w:t>
      </w:r>
    </w:p>
    <w:bookmarkEnd w:id="136"/>
    <w:bookmarkEnd w:id="137"/>
    <w:bookmarkStart w:id="139" w:name="malvaceae"/>
    <w:p>
      <w:pPr>
        <w:pStyle w:val="Ttulo1"/>
      </w:pPr>
      <w:r>
        <w:t xml:space="preserve">35. Malvaceae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38" w:name="referencias-32"/>
    <w:p>
      <w:pPr>
        <w:pStyle w:val="Ttulo2"/>
      </w:pPr>
      <w:r>
        <w:t xml:space="preserve">Referencias</w:t>
      </w:r>
    </w:p>
    <w:bookmarkEnd w:id="138"/>
    <w:bookmarkEnd w:id="139"/>
    <w:bookmarkStart w:id="141" w:name="melastomataceae"/>
    <w:p>
      <w:pPr>
        <w:pStyle w:val="Ttulo1"/>
      </w:pPr>
      <w:r>
        <w:t xml:space="preserve">36. Melastomataceae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40" w:name="referencias-33"/>
    <w:p>
      <w:pPr>
        <w:pStyle w:val="Ttulo2"/>
      </w:pPr>
      <w:r>
        <w:t xml:space="preserve">Referencias</w:t>
      </w:r>
    </w:p>
    <w:bookmarkEnd w:id="140"/>
    <w:bookmarkEnd w:id="141"/>
    <w:bookmarkStart w:id="143" w:name="montiaceae"/>
    <w:p>
      <w:pPr>
        <w:pStyle w:val="Ttulo1"/>
      </w:pPr>
      <w:r>
        <w:t xml:space="preserve">37. Montiaceae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42" w:name="referencias-34"/>
    <w:p>
      <w:pPr>
        <w:pStyle w:val="Ttulo2"/>
      </w:pPr>
      <w:r>
        <w:t xml:space="preserve">Referencias</w:t>
      </w:r>
    </w:p>
    <w:bookmarkEnd w:id="142"/>
    <w:bookmarkEnd w:id="143"/>
    <w:bookmarkStart w:id="145" w:name="myricaceae"/>
    <w:p>
      <w:pPr>
        <w:pStyle w:val="Ttulo1"/>
      </w:pPr>
      <w:r>
        <w:t xml:space="preserve">38. Myricaceae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44" w:name="referencias-35"/>
    <w:p>
      <w:pPr>
        <w:pStyle w:val="Ttulo2"/>
      </w:pPr>
      <w:r>
        <w:t xml:space="preserve">Referencias</w:t>
      </w:r>
    </w:p>
    <w:bookmarkEnd w:id="144"/>
    <w:bookmarkEnd w:id="145"/>
    <w:bookmarkStart w:id="147" w:name="onagraceae"/>
    <w:p>
      <w:pPr>
        <w:pStyle w:val="Ttulo1"/>
      </w:pPr>
      <w:r>
        <w:t xml:space="preserve">39. Onagraceae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46" w:name="referencias-36"/>
    <w:p>
      <w:pPr>
        <w:pStyle w:val="Ttulo2"/>
      </w:pPr>
      <w:r>
        <w:t xml:space="preserve">Referencias</w:t>
      </w:r>
    </w:p>
    <w:bookmarkEnd w:id="146"/>
    <w:bookmarkEnd w:id="147"/>
    <w:bookmarkStart w:id="149" w:name="orchidaceae"/>
    <w:p>
      <w:pPr>
        <w:pStyle w:val="Ttulo1"/>
      </w:pPr>
      <w:r>
        <w:t xml:space="preserve">40. Orchidaceae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48" w:name="referencias-37"/>
    <w:p>
      <w:pPr>
        <w:pStyle w:val="Ttulo2"/>
      </w:pPr>
      <w:r>
        <w:t xml:space="preserve">Referencias</w:t>
      </w:r>
    </w:p>
    <w:bookmarkEnd w:id="148"/>
    <w:bookmarkEnd w:id="149"/>
    <w:bookmarkStart w:id="151" w:name="orobanchaceae"/>
    <w:p>
      <w:pPr>
        <w:pStyle w:val="Ttulo1"/>
      </w:pPr>
      <w:r>
        <w:t xml:space="preserve">41. Orobanchaceae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50" w:name="referencias-38"/>
    <w:p>
      <w:pPr>
        <w:pStyle w:val="Ttulo2"/>
      </w:pPr>
      <w:r>
        <w:t xml:space="preserve">Referencias</w:t>
      </w:r>
    </w:p>
    <w:bookmarkEnd w:id="150"/>
    <w:bookmarkEnd w:id="151"/>
    <w:bookmarkStart w:id="153" w:name="oxalidaceae"/>
    <w:p>
      <w:pPr>
        <w:pStyle w:val="Ttulo1"/>
      </w:pPr>
      <w:r>
        <w:t xml:space="preserve">42. Oxalidaceae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52" w:name="referencias-39"/>
    <w:p>
      <w:pPr>
        <w:pStyle w:val="Ttulo2"/>
      </w:pPr>
      <w:r>
        <w:t xml:space="preserve">Referencias</w:t>
      </w:r>
    </w:p>
    <w:bookmarkEnd w:id="152"/>
    <w:bookmarkEnd w:id="153"/>
    <w:bookmarkStart w:id="155" w:name="passifloraceae"/>
    <w:p>
      <w:pPr>
        <w:pStyle w:val="Ttulo1"/>
      </w:pPr>
      <w:r>
        <w:t xml:space="preserve">43. Passifloraceae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54" w:name="referencias-40"/>
    <w:p>
      <w:pPr>
        <w:pStyle w:val="Ttulo2"/>
      </w:pPr>
      <w:r>
        <w:t xml:space="preserve">Referencias</w:t>
      </w:r>
    </w:p>
    <w:bookmarkEnd w:id="154"/>
    <w:bookmarkEnd w:id="155"/>
    <w:bookmarkStart w:id="157" w:name="phrymaceae"/>
    <w:p>
      <w:pPr>
        <w:pStyle w:val="Ttulo1"/>
      </w:pPr>
      <w:r>
        <w:t xml:space="preserve">44. Phrymaceae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56" w:name="referencias-41"/>
    <w:p>
      <w:pPr>
        <w:pStyle w:val="Ttulo2"/>
      </w:pPr>
      <w:r>
        <w:t xml:space="preserve">Referencias</w:t>
      </w:r>
    </w:p>
    <w:bookmarkEnd w:id="156"/>
    <w:bookmarkEnd w:id="157"/>
    <w:bookmarkStart w:id="159" w:name="piperaceae"/>
    <w:p>
      <w:pPr>
        <w:pStyle w:val="Ttulo1"/>
      </w:pPr>
      <w:r>
        <w:t xml:space="preserve">45. Piperaceae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58" w:name="referencias-42"/>
    <w:p>
      <w:pPr>
        <w:pStyle w:val="Ttulo2"/>
      </w:pPr>
      <w:r>
        <w:t xml:space="preserve">Referencias</w:t>
      </w:r>
    </w:p>
    <w:bookmarkEnd w:id="158"/>
    <w:bookmarkEnd w:id="159"/>
    <w:bookmarkStart w:id="161" w:name="plantaginaceae"/>
    <w:p>
      <w:pPr>
        <w:pStyle w:val="Ttulo1"/>
      </w:pPr>
      <w:r>
        <w:t xml:space="preserve">46. Plantaginaceae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60" w:name="referencias-43"/>
    <w:p>
      <w:pPr>
        <w:pStyle w:val="Ttulo2"/>
      </w:pPr>
      <w:r>
        <w:t xml:space="preserve">Referencias</w:t>
      </w:r>
    </w:p>
    <w:bookmarkEnd w:id="160"/>
    <w:bookmarkEnd w:id="161"/>
    <w:bookmarkStart w:id="163" w:name="poaceae"/>
    <w:p>
      <w:pPr>
        <w:pStyle w:val="Ttulo1"/>
      </w:pPr>
      <w:r>
        <w:t xml:space="preserve">47. Poaceae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62" w:name="referencias-44"/>
    <w:p>
      <w:pPr>
        <w:pStyle w:val="Ttulo2"/>
      </w:pPr>
      <w:r>
        <w:t xml:space="preserve">Referencias</w:t>
      </w:r>
    </w:p>
    <w:bookmarkEnd w:id="162"/>
    <w:bookmarkEnd w:id="163"/>
    <w:bookmarkStart w:id="165" w:name="polygonaceae"/>
    <w:p>
      <w:pPr>
        <w:pStyle w:val="Ttulo1"/>
      </w:pPr>
      <w:r>
        <w:t xml:space="preserve">48. Polygonaceae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64" w:name="referencias-45"/>
    <w:p>
      <w:pPr>
        <w:pStyle w:val="Ttulo2"/>
      </w:pPr>
      <w:r>
        <w:t xml:space="preserve">Referencias</w:t>
      </w:r>
    </w:p>
    <w:bookmarkEnd w:id="164"/>
    <w:bookmarkEnd w:id="165"/>
    <w:bookmarkStart w:id="167" w:name="ranunculaceae"/>
    <w:p>
      <w:pPr>
        <w:pStyle w:val="Ttulo1"/>
      </w:pPr>
      <w:r>
        <w:t xml:space="preserve">49. Ranunculaceae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66" w:name="referencias-46"/>
    <w:p>
      <w:pPr>
        <w:pStyle w:val="Ttulo2"/>
      </w:pPr>
      <w:r>
        <w:t xml:space="preserve">Referencias</w:t>
      </w:r>
    </w:p>
    <w:bookmarkEnd w:id="166"/>
    <w:bookmarkEnd w:id="167"/>
    <w:bookmarkStart w:id="169" w:name="rosaceae"/>
    <w:p>
      <w:pPr>
        <w:pStyle w:val="Ttulo1"/>
      </w:pPr>
      <w:r>
        <w:t xml:space="preserve">50. Rosaceae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68" w:name="referencias-47"/>
    <w:p>
      <w:pPr>
        <w:pStyle w:val="Ttulo2"/>
      </w:pPr>
      <w:r>
        <w:t xml:space="preserve">Referencias</w:t>
      </w:r>
    </w:p>
    <w:bookmarkEnd w:id="168"/>
    <w:bookmarkEnd w:id="169"/>
    <w:bookmarkStart w:id="171" w:name="rubiaceae"/>
    <w:p>
      <w:pPr>
        <w:pStyle w:val="Ttulo1"/>
      </w:pPr>
      <w:r>
        <w:t xml:space="preserve">51. Rubiaceae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70" w:name="referencias-48"/>
    <w:p>
      <w:pPr>
        <w:pStyle w:val="Ttulo2"/>
      </w:pPr>
      <w:r>
        <w:t xml:space="preserve">Referencias</w:t>
      </w:r>
    </w:p>
    <w:bookmarkEnd w:id="170"/>
    <w:bookmarkEnd w:id="171"/>
    <w:bookmarkStart w:id="173" w:name="scrophulariaceae"/>
    <w:p>
      <w:pPr>
        <w:pStyle w:val="Ttulo1"/>
      </w:pPr>
      <w:r>
        <w:t xml:space="preserve">52. Scrophulariaceae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72" w:name="referencias-49"/>
    <w:p>
      <w:pPr>
        <w:pStyle w:val="Ttulo2"/>
      </w:pPr>
      <w:r>
        <w:t xml:space="preserve">Referencias</w:t>
      </w:r>
    </w:p>
    <w:bookmarkEnd w:id="172"/>
    <w:bookmarkEnd w:id="173"/>
    <w:bookmarkStart w:id="175" w:name="solanaceae"/>
    <w:p>
      <w:pPr>
        <w:pStyle w:val="Ttulo1"/>
      </w:pPr>
      <w:r>
        <w:t xml:space="preserve">53. Solanaceae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74" w:name="referencias-50"/>
    <w:p>
      <w:pPr>
        <w:pStyle w:val="Ttulo2"/>
      </w:pPr>
      <w:r>
        <w:t xml:space="preserve">Referencias</w:t>
      </w:r>
    </w:p>
    <w:bookmarkEnd w:id="174"/>
    <w:bookmarkEnd w:id="175"/>
    <w:bookmarkStart w:id="182" w:name="violaceae"/>
    <w:p>
      <w:pPr>
        <w:pStyle w:val="Ttulo1"/>
      </w:pPr>
      <w:r>
        <w:t xml:space="preserve">54. Violaceae</w:t>
      </w:r>
    </w:p>
    <w:p>
      <w:pPr>
        <w:pStyle w:val="FirstParagraph"/>
      </w:pPr>
      <w:r>
        <w:t xml:space="preserve">🚧 En desarrollo…</w:t>
      </w:r>
    </w:p>
    <w:p>
      <w:pPr>
        <w:pStyle w:val="BodyText"/>
      </w:pPr>
      <w:r>
        <w:rPr>
          <w:vertAlign w:val="superscript"/>
        </w:rPr>
        <w:t xml:space="preserve">[1]</w:t>
      </w:r>
      <w:r>
        <w:rPr>
          <w:vertAlign w:val="superscript"/>
        </w:rPr>
        <w:t xml:space="preserve">[2]</w:t>
      </w:r>
    </w:p>
    <w:bookmarkStart w:id="181" w:name="referencias-51"/>
    <w:p>
      <w:pPr>
        <w:pStyle w:val="Ttulo2"/>
      </w:pPr>
      <w:r>
        <w:t xml:space="preserve">Referencias</w:t>
      </w:r>
    </w:p>
    <w:bookmarkStart w:id="180" w:name="refs"/>
    <w:bookmarkStart w:id="177" w:name="ref-delatorre2008enciclopedia"/>
    <w:p>
      <w:pPr>
        <w:pStyle w:val="Bibliography"/>
      </w:pPr>
      <w:r>
        <w:t xml:space="preserve">1.</w:t>
      </w:r>
      <w:r>
        <w:t xml:space="preserve"> </w:t>
      </w:r>
      <w:r>
        <w:t xml:space="preserve">de la Torre, L., Navarrete, H., Muriel M., P., Macı́a, M. J., &amp; Balslev, H. (Eds.)</w:t>
      </w:r>
      <w:r>
        <w:t xml:space="preserve">. (2008).</w:t>
      </w:r>
      <w:r>
        <w:t xml:space="preserve"> </w:t>
      </w:r>
      <w:r>
        <w:rPr>
          <w:i/>
          <w:iCs/>
        </w:rPr>
        <w:t xml:space="preserve">Enciclopedia de las Plantas</w:t>
      </w:r>
      <w:r>
        <w:rPr>
          <w:i/>
          <w:iCs/>
        </w:rPr>
        <w:t xml:space="preserve"> </w:t>
      </w:r>
      <w:r>
        <w:rPr>
          <w:i/>
          <w:iCs/>
        </w:rPr>
        <w:t xml:space="preserve">Ú</w:t>
      </w:r>
      <w:r>
        <w:rPr>
          <w:i/>
          <w:iCs/>
        </w:rPr>
        <w:t xml:space="preserve">tiles del Ecuador</w:t>
      </w:r>
      <w:r>
        <w:t xml:space="preserve">. Herbario QCA de la Escuela de Ciencias Biol</w:t>
      </w:r>
      <w:r>
        <w:t xml:space="preserve">ó</w:t>
      </w:r>
      <w:r>
        <w:t xml:space="preserve">gicas de la Pontificia Universidad Cat</w:t>
      </w:r>
      <w:r>
        <w:t xml:space="preserve">ó</w:t>
      </w:r>
      <w:r>
        <w:t xml:space="preserve">lica del Ecuador &amp; Herbario AAU del Departamento de Ciencias Biol</w:t>
      </w:r>
      <w:r>
        <w:t xml:space="preserve">ó</w:t>
      </w:r>
      <w:r>
        <w:t xml:space="preserve">gicas de la Universidad de Aarhus.</w:t>
      </w:r>
      <w:r>
        <w:t xml:space="preserve"> </w:t>
      </w:r>
      <w:hyperlink r:id="rId176">
        <w:r>
          <w:rPr>
            <w:rStyle w:val="Hipervnculo"/>
          </w:rPr>
          <w:t xml:space="preserve">https://scholarspace.manoa.hawaii.edu/server/api/core/bitstreams/b80ee8d6-b073-4788-b63e-176042ec952d/content</w:t>
        </w:r>
      </w:hyperlink>
    </w:p>
    <w:bookmarkEnd w:id="177"/>
    <w:bookmarkStart w:id="179" w:name="ref-mae2025listado"/>
    <w:p>
      <w:pPr>
        <w:pStyle w:val="Bibliography"/>
      </w:pPr>
      <w:r>
        <w:t xml:space="preserve">2. Ministerio de Ambiente y Energı́a de Ecuador - MAE. (2025).</w:t>
      </w:r>
      <w:r>
        <w:t xml:space="preserve"> </w:t>
      </w:r>
      <w:r>
        <w:rPr>
          <w:i/>
          <w:iCs/>
        </w:rPr>
        <w:t xml:space="preserve">Listado de plantas de uso y aprovechamiento sostenible en Ecuador</w:t>
      </w:r>
      <w:r>
        <w:t xml:space="preserve">. Checklist dataset via GBIF.org.</w:t>
      </w:r>
      <w:r>
        <w:t xml:space="preserve"> </w:t>
      </w:r>
      <w:hyperlink r:id="rId178">
        <w:r>
          <w:rPr>
            <w:rStyle w:val="Hipervnculo"/>
          </w:rPr>
          <w:t xml:space="preserve">https://doi.org/10.60545/eifqjo</w:t>
        </w:r>
      </w:hyperlink>
    </w:p>
    <w:bookmarkEnd w:id="179"/>
    <w:bookmarkEnd w:id="180"/>
    <w:bookmarkEnd w:id="181"/>
    <w:bookmarkEnd w:id="182"/>
    <w:sectPr w:rsidR="00B07F20">
      <w:headerReference r:id="rId13" w:type="default"/>
      <w:footerReference r:id="rId14" w:type="default"/>
      <w:pgSz w:h="15840" w:w="12240"/>
      <w:pgMar w:bottom="1440" w:footer="708" w:gutter="0" w:header="708" w:left="1440" w:right="1440" w:top="1903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A547CE" w14:textId="77777777" w:rsidR="00B07F20" w:rsidRDefault="00B97E4A">
    <w:pPr>
      <w:tabs>
        <w:tab w:val="center" w:pos="4550"/>
        <w:tab w:val="left" w:pos="5818"/>
      </w:tabs>
      <w:ind w:right="260"/>
      <w:jc w:val="right"/>
      <w:rPr>
        <w:rFonts w:ascii="Corbel" w:hAnsi="Corbel" w:cs="Arial"/>
        <w:color w:val="BFBFBF" w:themeColor="background1" w:themeShade="BF"/>
        <w:sz w:val="20"/>
        <w:szCs w:val="20"/>
      </w:rPr>
    </w:pPr>
    <w:r>
      <w:rPr>
        <w:rFonts w:ascii="Corbel" w:hAnsi="Corbel" w:cs="Arial"/>
        <w:color w:val="BFBFBF" w:themeColor="background1" w:themeShade="BF"/>
        <w:spacing w:val="60"/>
        <w:sz w:val="20"/>
        <w:szCs w:val="20"/>
        <w:lang w:val="es-ES"/>
      </w:rPr>
      <w:t>Página</w:t>
    </w:r>
    <w:r>
      <w:rPr>
        <w:rFonts w:ascii="Corbel" w:hAnsi="Corbel" w:cs="Arial"/>
        <w:color w:val="BFBFBF" w:themeColor="background1" w:themeShade="BF"/>
        <w:sz w:val="20"/>
        <w:szCs w:val="20"/>
        <w:lang w:val="es-ES"/>
      </w:rPr>
      <w:t xml:space="preserve"> </w:t>
    </w:r>
    <w:r>
      <w:rPr>
        <w:rFonts w:ascii="Corbel" w:hAnsi="Corbel" w:cs="Arial"/>
        <w:color w:val="BFBFBF" w:themeColor="background1" w:themeShade="BF"/>
        <w:sz w:val="20"/>
        <w:szCs w:val="20"/>
      </w:rPr>
      <w:fldChar w:fldCharType="begin"/>
    </w:r>
    <w:r>
      <w:rPr>
        <w:rFonts w:ascii="Corbel" w:hAnsi="Corbel" w:cs="Arial"/>
        <w:color w:val="BFBFBF" w:themeColor="background1" w:themeShade="BF"/>
        <w:sz w:val="20"/>
        <w:szCs w:val="20"/>
      </w:rPr>
      <w:instrText>PAGE   \* MERGEFORMAT</w:instrText>
    </w:r>
    <w:r>
      <w:rPr>
        <w:rFonts w:ascii="Corbel" w:hAnsi="Corbel" w:cs="Arial"/>
        <w:color w:val="BFBFBF" w:themeColor="background1" w:themeShade="BF"/>
        <w:sz w:val="20"/>
        <w:szCs w:val="20"/>
      </w:rPr>
      <w:fldChar w:fldCharType="separate"/>
    </w:r>
    <w:r>
      <w:rPr>
        <w:rFonts w:ascii="Corbel" w:hAnsi="Corbel" w:cs="Arial"/>
        <w:color w:val="BFBFBF" w:themeColor="background1" w:themeShade="BF"/>
        <w:sz w:val="20"/>
        <w:szCs w:val="20"/>
        <w:lang w:val="es-ES"/>
      </w:rPr>
      <w:t>1</w:t>
    </w:r>
    <w:r>
      <w:rPr>
        <w:rFonts w:ascii="Corbel" w:hAnsi="Corbel" w:cs="Arial"/>
        <w:color w:val="BFBFBF" w:themeColor="background1" w:themeShade="BF"/>
        <w:sz w:val="20"/>
        <w:szCs w:val="20"/>
      </w:rPr>
      <w:fldChar w:fldCharType="end"/>
    </w:r>
    <w:r>
      <w:rPr>
        <w:rFonts w:ascii="Corbel" w:hAnsi="Corbel" w:cs="Arial"/>
        <w:color w:val="BFBFBF" w:themeColor="background1" w:themeShade="BF"/>
        <w:sz w:val="20"/>
        <w:szCs w:val="20"/>
        <w:lang w:val="es-ES"/>
      </w:rPr>
      <w:t xml:space="preserve"> | </w:t>
    </w:r>
    <w:r>
      <w:rPr>
        <w:rFonts w:ascii="Corbel" w:hAnsi="Corbel" w:cs="Arial"/>
        <w:color w:val="BFBFBF" w:themeColor="background1" w:themeShade="BF"/>
        <w:sz w:val="20"/>
        <w:szCs w:val="20"/>
      </w:rPr>
      <w:fldChar w:fldCharType="begin"/>
    </w:r>
    <w:r>
      <w:rPr>
        <w:rFonts w:ascii="Corbel" w:hAnsi="Corbel" w:cs="Arial"/>
        <w:color w:val="BFBFBF" w:themeColor="background1" w:themeShade="BF"/>
        <w:sz w:val="20"/>
        <w:szCs w:val="20"/>
      </w:rPr>
      <w:instrText>NUMPAGES  \* Arabic  \* MERGEFORMAT</w:instrText>
    </w:r>
    <w:r>
      <w:rPr>
        <w:rFonts w:ascii="Corbel" w:hAnsi="Corbel" w:cs="Arial"/>
        <w:color w:val="BFBFBF" w:themeColor="background1" w:themeShade="BF"/>
        <w:sz w:val="20"/>
        <w:szCs w:val="20"/>
      </w:rPr>
      <w:fldChar w:fldCharType="separate"/>
    </w:r>
    <w:r>
      <w:rPr>
        <w:rFonts w:ascii="Corbel" w:hAnsi="Corbel" w:cs="Arial"/>
        <w:color w:val="BFBFBF" w:themeColor="background1" w:themeShade="BF"/>
        <w:sz w:val="20"/>
        <w:szCs w:val="20"/>
        <w:lang w:val="es-ES"/>
      </w:rPr>
      <w:t>1</w:t>
    </w:r>
    <w:r>
      <w:rPr>
        <w:rFonts w:ascii="Corbel" w:hAnsi="Corbel" w:cs="Arial"/>
        <w:color w:val="BFBFBF" w:themeColor="background1" w:themeShade="BF"/>
        <w:sz w:val="20"/>
        <w:szCs w:val="20"/>
      </w:rPr>
      <w:fldChar w:fldCharType="end"/>
    </w:r>
  </w:p>
  <w:p w14:paraId="1AC09031" w14:textId="77777777" w:rsidR="00B07F20" w:rsidRDefault="00B07F20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5480FD" w14:textId="77777777" w:rsidR="00B07F20" w:rsidRDefault="00B97E4A">
    <w:pPr>
      <w:pStyle w:val="Encabezado"/>
      <w:rPr>
        <w:b/>
        <w:bCs/>
        <w:color w:val="920000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9BB1B9F" wp14:editId="08D9BB3F">
          <wp:simplePos x="0" y="0"/>
          <wp:positionH relativeFrom="margin">
            <wp:posOffset>-114300</wp:posOffset>
          </wp:positionH>
          <wp:positionV relativeFrom="paragraph">
            <wp:posOffset>-16510</wp:posOffset>
          </wp:positionV>
          <wp:extent cx="1714500" cy="495300"/>
          <wp:effectExtent l="0" t="0" r="0" b="0"/>
          <wp:wrapTight wrapText="bothSides">
            <wp:wrapPolygon edited="0">
              <wp:start x="12000" y="0"/>
              <wp:lineTo x="1200" y="1662"/>
              <wp:lineTo x="0" y="3323"/>
              <wp:lineTo x="0" y="14954"/>
              <wp:lineTo x="720" y="19938"/>
              <wp:lineTo x="20880" y="19938"/>
              <wp:lineTo x="21360" y="4154"/>
              <wp:lineTo x="20160" y="2492"/>
              <wp:lineTo x="13680" y="0"/>
              <wp:lineTo x="1200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0E52F98" w14:textId="0A396AA7" w:rsidR="00B07F20" w:rsidRDefault="00B452F7">
    <w:pPr>
      <w:pStyle w:val="Encabezado"/>
      <w:ind w:firstLine="1440"/>
      <w:jc w:val="right"/>
      <w:rPr>
        <w:rFonts w:ascii="Corbel" w:hAnsi="Corbel"/>
        <w:b/>
        <w:bCs/>
        <w:color w:val="808080" w:themeColor="background1" w:themeShade="80"/>
        <w:sz w:val="24"/>
        <w:szCs w:val="24"/>
      </w:rPr>
    </w:pPr>
    <w:r>
      <w:rPr>
        <w:rFonts w:ascii="Corbel" w:hAnsi="Corbel"/>
        <w:b/>
        <w:bCs/>
        <w:color w:val="808080" w:themeColor="background1" w:themeShade="80"/>
        <w:sz w:val="24"/>
        <w:szCs w:val="24"/>
      </w:rPr>
      <w:t>Ing.</w:t>
    </w:r>
    <w:r w:rsidR="00B97E4A">
      <w:rPr>
        <w:rFonts w:ascii="Corbel" w:hAnsi="Corbel"/>
        <w:b/>
        <w:bCs/>
        <w:color w:val="808080" w:themeColor="background1" w:themeShade="80"/>
        <w:sz w:val="24"/>
        <w:szCs w:val="24"/>
      </w:rPr>
      <w:t xml:space="preserve"> </w:t>
    </w:r>
    <w:r>
      <w:rPr>
        <w:rFonts w:ascii="Corbel" w:hAnsi="Corbel"/>
        <w:b/>
        <w:bCs/>
        <w:color w:val="808080" w:themeColor="background1" w:themeShade="80"/>
        <w:sz w:val="24"/>
        <w:szCs w:val="24"/>
      </w:rPr>
      <w:t>Marcelo F. Amores Palma Mg.</w:t>
    </w:r>
  </w:p>
  <w:p w14:paraId="135FB137" w14:textId="313F2F0F" w:rsidR="00B07F20" w:rsidRDefault="00B97E4A">
    <w:pPr>
      <w:pStyle w:val="Encabezado"/>
      <w:jc w:val="right"/>
      <w:rPr>
        <w:rFonts w:ascii="Corbel" w:hAnsi="Corbel"/>
        <w:b/>
        <w:bCs/>
        <w:color w:val="808080" w:themeColor="background1" w:themeShade="80"/>
        <w:sz w:val="24"/>
        <w:szCs w:val="24"/>
      </w:rPr>
    </w:pPr>
    <w:r>
      <w:rPr>
        <w:rFonts w:ascii="Corbel" w:hAnsi="Corbel"/>
        <w:b/>
        <w:bCs/>
        <w:noProof/>
        <w:color w:val="FFFFFF" w:themeColor="background1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D63C47" wp14:editId="53D353BF">
              <wp:simplePos x="0" y="0"/>
              <wp:positionH relativeFrom="column">
                <wp:posOffset>-17145</wp:posOffset>
              </wp:positionH>
              <wp:positionV relativeFrom="paragraph">
                <wp:posOffset>274955</wp:posOffset>
              </wp:positionV>
              <wp:extent cx="5961380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118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psCustomData="http://www.wps.cn/officeDocument/2013/wpsCustomData">
          <w:pict>
            <v:line id="_x0000_s1026" o:spid="_x0000_s1026" o:spt="20" style="position:absolute;left:0pt;margin-left:-1.35pt;margin-top:21.65pt;height:0pt;width:469.4pt;z-index:251660288;mso-width-relative:page;mso-height-relative:page;" filled="f" stroked="t" coordsize="21600,21600" o:gfxdata="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4tYss1QAAAAgBAAAPAAAA&#10;AAAAAAEAIAAAACIAAABkcnMvZG93bnJldi54bWxQSwECFAAUAAAACACHTuJASNBRE98BAADTAwAA&#10;DgAAAAAAAAABACAAAAAkAQAAZHJzL2Uyb0RvYy54bWxQSwUGAAAAAAYABgBZAQAAdQUAAAAA&#10;">
              <v:fill on="f" focussize="0,0"/>
              <v:stroke weight="1pt" color="#808080 [1612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Corbel" w:hAnsi="Corbel"/>
        <w:b/>
        <w:bCs/>
        <w:color w:val="808080" w:themeColor="background1" w:themeShade="80"/>
        <w:sz w:val="24"/>
        <w:szCs w:val="24"/>
      </w:rPr>
      <w:t xml:space="preserve"> </w:t>
    </w:r>
    <w:r>
      <w:rPr>
        <w:rFonts w:ascii="Corbel" w:hAnsi="Corbel"/>
        <w:b/>
        <w:bCs/>
        <w:color w:val="808080" w:themeColor="background1" w:themeShade="80"/>
        <w:sz w:val="24"/>
        <w:szCs w:val="24"/>
      </w:rPr>
      <w:tab/>
      <w:t xml:space="preserve"> </w:t>
    </w:r>
    <w:r w:rsidR="00B452F7">
      <w:rPr>
        <w:rFonts w:ascii="Corbel" w:hAnsi="Corbel"/>
        <w:b/>
        <w:bCs/>
        <w:color w:val="808080" w:themeColor="background1" w:themeShade="80"/>
        <w:sz w:val="24"/>
        <w:szCs w:val="24"/>
      </w:rPr>
      <w:t>contacto.envinatu@gmail.com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86B2F7C"/>
    <w:multiLevelType w:val="multilevel"/>
    <w:tmpl w:val="086B2F7C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1BB22C3C"/>
    <w:multiLevelType w:val="multilevel"/>
    <w:tmpl w:val="1BB22C3C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0AC2780"/>
    <w:multiLevelType w:val="multilevel"/>
    <w:tmpl w:val="20AC2780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2AD02E3E"/>
    <w:multiLevelType w:val="multilevel"/>
    <w:tmpl w:val="2AD02E3E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">
    <w:nsid w:val="318D35DF"/>
    <w:multiLevelType w:val="multilevel"/>
    <w:tmpl w:val="318D35DF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3CF454B"/>
    <w:multiLevelType w:val="multilevel"/>
    <w:tmpl w:val="33CF454B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34124C8A"/>
    <w:multiLevelType w:val="multilevel"/>
    <w:tmpl w:val="34124C8A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40472361"/>
    <w:multiLevelType w:val="multilevel"/>
    <w:tmpl w:val="40472361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45D95B35"/>
    <w:multiLevelType w:val="multilevel"/>
    <w:tmpl w:val="45D95B35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57464E68"/>
    <w:multiLevelType w:val="multilevel"/>
    <w:tmpl w:val="57464E68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">
    <w:nsid w:val="5AB76F06"/>
    <w:multiLevelType w:val="multilevel"/>
    <w:tmpl w:val="5AB76F06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6128138E"/>
    <w:multiLevelType w:val="multilevel"/>
    <w:tmpl w:val="6128138E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68E316D4"/>
    <w:multiLevelType w:val="multilevel"/>
    <w:tmpl w:val="68E316D4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6958269C"/>
    <w:multiLevelType w:val="multilevel"/>
    <w:tmpl w:val="6958269C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70471C04"/>
    <w:multiLevelType w:val="multilevel"/>
    <w:tmpl w:val="70471C04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">
    <w:nsid w:val="7A155A41"/>
    <w:multiLevelType w:val="multilevel"/>
    <w:tmpl w:val="7A155A41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6">
    <w:nsid w:val="7BAD7D76"/>
    <w:multiLevelType w:val="multilevel"/>
    <w:tmpl w:val="7BAD7D76"/>
    <w:lvl w:ilvl="0">
      <w:start w:val="1"/>
      <w:numFmt w:val="bullet"/>
      <w:lvlText w:val=""/>
      <w:lvlJc w:val="left"/>
      <w:pPr>
        <w:tabs>
          <w:tab w:pos="720" w:val="left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left"/>
        </w:tabs>
        <w:ind w:hanging="360" w:left="144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pos="2160" w:val="left"/>
        </w:tabs>
        <w:ind w:hanging="360" w:left="21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pos="2880" w:val="left"/>
        </w:tabs>
        <w:ind w:hanging="360" w:left="288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pos="3600" w:val="left"/>
        </w:tabs>
        <w:ind w:hanging="360" w:left="360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pos="4320" w:val="left"/>
        </w:tabs>
        <w:ind w:hanging="360" w:left="432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pos="5040" w:val="left"/>
        </w:tabs>
        <w:ind w:hanging="360" w:left="504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pos="5760" w:val="left"/>
        </w:tabs>
        <w:ind w:hanging="360" w:left="57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pos="6480" w:val="left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16"/>
  </w:num>
  <w:num w:numId="7">
    <w:abstractNumId w:val="14"/>
  </w:num>
  <w:num w:numId="8">
    <w:abstractNumId w:val="3"/>
  </w:num>
  <w:num w:numId="9">
    <w:abstractNumId w:val="15"/>
  </w:num>
  <w:num w:numId="10">
    <w:abstractNumId w:val="10"/>
  </w:num>
  <w:num w:numId="11">
    <w:abstractNumId w:val="12"/>
  </w:num>
  <w:num w:numId="12">
    <w:abstractNumId w:val="9"/>
  </w:num>
  <w:num w:numId="13">
    <w:abstractNumId w:val="6"/>
  </w:num>
  <w:num w:numId="14">
    <w:abstractNumId w:val="8"/>
  </w:num>
  <w:num w:numId="15">
    <w:abstractNumId w:val="13"/>
  </w:num>
  <w:num w:numId="16">
    <w:abstractNumId w:val="11"/>
  </w:num>
  <w:num w:numId="17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savePreviewPicture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DC3"/>
    <w:rsid w:val="00027F51"/>
    <w:rsid w:val="00032026"/>
    <w:rsid w:val="00044238"/>
    <w:rsid w:val="00105C5C"/>
    <w:rsid w:val="001338BB"/>
    <w:rsid w:val="00181DCF"/>
    <w:rsid w:val="00187949"/>
    <w:rsid w:val="002052B0"/>
    <w:rsid w:val="002C3EE6"/>
    <w:rsid w:val="002C77BE"/>
    <w:rsid w:val="002F7F8A"/>
    <w:rsid w:val="003275BC"/>
    <w:rsid w:val="00352C06"/>
    <w:rsid w:val="003B623D"/>
    <w:rsid w:val="003D21C3"/>
    <w:rsid w:val="003F5F59"/>
    <w:rsid w:val="00427F8C"/>
    <w:rsid w:val="00477648"/>
    <w:rsid w:val="00490DFB"/>
    <w:rsid w:val="004A2F10"/>
    <w:rsid w:val="004B46E1"/>
    <w:rsid w:val="004C45DE"/>
    <w:rsid w:val="004E706E"/>
    <w:rsid w:val="005C34A6"/>
    <w:rsid w:val="005C6F16"/>
    <w:rsid w:val="005E69F8"/>
    <w:rsid w:val="005F4CF3"/>
    <w:rsid w:val="006920F0"/>
    <w:rsid w:val="006A2DC3"/>
    <w:rsid w:val="00713022"/>
    <w:rsid w:val="0077608A"/>
    <w:rsid w:val="007F3121"/>
    <w:rsid w:val="00811937"/>
    <w:rsid w:val="00821FAA"/>
    <w:rsid w:val="00827CF7"/>
    <w:rsid w:val="0083139B"/>
    <w:rsid w:val="008D10E5"/>
    <w:rsid w:val="0094285D"/>
    <w:rsid w:val="009C3C13"/>
    <w:rsid w:val="00A03E69"/>
    <w:rsid w:val="00A12D96"/>
    <w:rsid w:val="00A30EA9"/>
    <w:rsid w:val="00A621DD"/>
    <w:rsid w:val="00A96EA8"/>
    <w:rsid w:val="00AC530D"/>
    <w:rsid w:val="00AD667F"/>
    <w:rsid w:val="00B07F20"/>
    <w:rsid w:val="00B173E4"/>
    <w:rsid w:val="00B25844"/>
    <w:rsid w:val="00B4200A"/>
    <w:rsid w:val="00B441DF"/>
    <w:rsid w:val="00B452F7"/>
    <w:rsid w:val="00B72ADE"/>
    <w:rsid w:val="00B8332F"/>
    <w:rsid w:val="00B93A7F"/>
    <w:rsid w:val="00B97E4A"/>
    <w:rsid w:val="00BA0597"/>
    <w:rsid w:val="00BA07A9"/>
    <w:rsid w:val="00BB0AB1"/>
    <w:rsid w:val="00BD0AE3"/>
    <w:rsid w:val="00BD21AD"/>
    <w:rsid w:val="00BD71F2"/>
    <w:rsid w:val="00C313E3"/>
    <w:rsid w:val="00C47021"/>
    <w:rsid w:val="00C72EF5"/>
    <w:rsid w:val="00CB7D62"/>
    <w:rsid w:val="00CE18A6"/>
    <w:rsid w:val="00D01A39"/>
    <w:rsid w:val="00D35508"/>
    <w:rsid w:val="00D62457"/>
    <w:rsid w:val="00DA52AF"/>
    <w:rsid w:val="00DB3C13"/>
    <w:rsid w:val="00E03818"/>
    <w:rsid w:val="00E1312B"/>
    <w:rsid w:val="00E51374"/>
    <w:rsid w:val="00E65E43"/>
    <w:rsid w:val="00EA6C72"/>
    <w:rsid w:val="00EC0694"/>
    <w:rsid w:val="00ED0D49"/>
    <w:rsid w:val="00F60A8C"/>
    <w:rsid w:val="00F874CD"/>
    <w:rsid w:val="6D8608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cs="Times New Roman" w:eastAsia="SimSun" w:hAnsi="Times New Roman"/>
        <w:lang w:bidi="ar-SA" w:eastAsia="es-EC" w:val="es"/>
      </w:rPr>
    </w:rPrDefault>
    <w:pPrDefault/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uiPriority="9"/>
    <w:lsdException w:name="heading 3" w:qFormat="1" w:uiPriority="9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 w:unhideWhenUsed="1"/>
    <w:lsdException w:name="footer" w:qFormat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B72ADE"/>
    <w:pPr>
      <w:spacing w:after="160" w:line="480" w:lineRule="auto"/>
    </w:pPr>
    <w:rPr>
      <w:rFonts w:cs="Segoe UI Light" w:eastAsiaTheme="minorHAnsi"/>
      <w:sz w:val="22"/>
      <w:szCs w:val="22"/>
      <w:lang w:eastAsia="en-US"/>
    </w:rPr>
  </w:style>
  <w:style w:styleId="Ttulo1" w:type="paragraph">
    <w:name w:val="heading 1"/>
    <w:basedOn w:val="Normal"/>
    <w:next w:val="Normal"/>
    <w:link w:val="Ttulo1Car"/>
    <w:uiPriority w:val="9"/>
    <w:qFormat/>
    <w:rsid w:val="00A03E69"/>
    <w:pPr>
      <w:keepNext/>
      <w:keepLines/>
      <w:spacing w:after="0" w:before="240"/>
      <w:outlineLvl w:val="0"/>
    </w:pPr>
    <w:rPr>
      <w:rFonts w:cstheme="majorBidi" w:eastAsiaTheme="majorEastAsia"/>
      <w:b/>
      <w:sz w:val="24"/>
      <w:szCs w:val="32"/>
    </w:rPr>
  </w:style>
  <w:style w:styleId="Ttulo2" w:type="paragraph">
    <w:name w:val="heading 2"/>
    <w:basedOn w:val="Normal"/>
    <w:link w:val="Ttulo2Car"/>
    <w:uiPriority w:val="9"/>
    <w:qFormat/>
    <w:rsid w:val="00A03E69"/>
    <w:pPr>
      <w:spacing w:after="100" w:afterAutospacing="1" w:before="100" w:beforeAutospacing="1" w:line="240" w:lineRule="auto"/>
      <w:outlineLvl w:val="1"/>
    </w:pPr>
    <w:rPr>
      <w:rFonts w:cs="Times New Roman" w:eastAsia="Times New Roman"/>
      <w:b/>
      <w:bCs/>
      <w:sz w:val="24"/>
      <w:szCs w:val="36"/>
      <w:lang w:eastAsia="es-EC"/>
    </w:rPr>
  </w:style>
  <w:style w:styleId="Ttulo3" w:type="paragraph">
    <w:name w:val="heading 3"/>
    <w:basedOn w:val="Normal"/>
    <w:link w:val="Ttulo3Car"/>
    <w:uiPriority w:val="9"/>
    <w:qFormat/>
    <w:rsid w:val="00A03E69"/>
    <w:pPr>
      <w:spacing w:after="100" w:afterAutospacing="1" w:before="100" w:beforeAutospacing="1" w:line="240" w:lineRule="auto"/>
      <w:outlineLvl w:val="2"/>
    </w:pPr>
    <w:rPr>
      <w:rFonts w:cs="Times New Roman" w:eastAsia="Times New Roman"/>
      <w:b/>
      <w:bCs/>
      <w:sz w:val="24"/>
      <w:szCs w:val="27"/>
      <w:lang w:eastAsia="es-EC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BB0AB1"/>
    <w:pPr>
      <w:keepNext/>
      <w:keepLines/>
      <w:spacing w:after="0" w:before="40"/>
      <w:outlineLvl w:val="3"/>
    </w:pPr>
    <w:rPr>
      <w:rFonts w:cstheme="majorBidi" w:eastAsiaTheme="majorEastAsia"/>
      <w:i/>
      <w:iCs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nfasis" w:type="character">
    <w:name w:val="Emphasis"/>
    <w:basedOn w:val="Fuentedeprrafopredeter"/>
    <w:uiPriority w:val="20"/>
    <w:qFormat/>
    <w:rPr>
      <w:i/>
      <w:iCs/>
    </w:rPr>
  </w:style>
  <w:style w:styleId="Hipervnculo" w:type="character">
    <w:name w:val="Hyperlink"/>
    <w:basedOn w:val="Fuentedeprrafopredeter"/>
    <w:uiPriority w:val="99"/>
    <w:unhideWhenUsed/>
    <w:qFormat/>
    <w:rsid w:val="00D62457"/>
    <w:rPr>
      <w:rFonts w:ascii="Times New Roman" w:hAnsi="Times New Roman"/>
      <w:color w:themeColor="accent1" w:val="4472C4"/>
      <w:u w:val="none"/>
    </w:rPr>
  </w:style>
  <w:style w:styleId="Textoennegrita" w:type="character">
    <w:name w:val="Strong"/>
    <w:basedOn w:val="Fuentedeprrafopredeter"/>
    <w:uiPriority w:val="22"/>
    <w:qFormat/>
    <w:rPr>
      <w:b/>
      <w:bCs/>
    </w:rPr>
  </w:style>
  <w:style w:styleId="Encabezado" w:type="paragraph">
    <w:name w:val="header"/>
    <w:basedOn w:val="Normal"/>
    <w:link w:val="EncabezadoCar"/>
    <w:uiPriority w:val="99"/>
    <w:unhideWhenUsed/>
    <w:qFormat/>
    <w:rsid w:val="00A03E69"/>
    <w:pPr>
      <w:tabs>
        <w:tab w:pos="4680" w:val="center"/>
        <w:tab w:pos="9360" w:val="right"/>
      </w:tabs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qFormat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es-EC"/>
    </w:rPr>
  </w:style>
  <w:style w:styleId="Piedepgina" w:type="paragraph">
    <w:name w:val="footer"/>
    <w:basedOn w:val="Normal"/>
    <w:link w:val="PiedepginaCar"/>
    <w:uiPriority w:val="99"/>
    <w:unhideWhenUsed/>
    <w:qFormat/>
    <w:rsid w:val="00427F8C"/>
    <w:pPr>
      <w:tabs>
        <w:tab w:pos="4680" w:val="center"/>
        <w:tab w:pos="9360" w:val="right"/>
      </w:tabs>
      <w:spacing w:after="0" w:line="240" w:lineRule="auto"/>
    </w:pPr>
  </w:style>
  <w:style w:customStyle="1" w:styleId="EncabezadoCar" w:type="character">
    <w:name w:val="Encabezado Car"/>
    <w:basedOn w:val="Fuentedeprrafopredeter"/>
    <w:link w:val="Encabezado"/>
    <w:uiPriority w:val="99"/>
    <w:qFormat/>
    <w:rsid w:val="00A03E69"/>
    <w:rPr>
      <w:rFonts w:cs="Segoe UI Light" w:eastAsiaTheme="minorHAnsi"/>
      <w:sz w:val="22"/>
      <w:szCs w:val="22"/>
      <w:lang w:eastAsia="en-US"/>
    </w:rPr>
  </w:style>
  <w:style w:customStyle="1" w:styleId="PiedepginaCar" w:type="character">
    <w:name w:val="Pie de página Car"/>
    <w:basedOn w:val="Fuentedeprrafopredeter"/>
    <w:link w:val="Piedepgina"/>
    <w:uiPriority w:val="99"/>
    <w:qFormat/>
    <w:rsid w:val="00427F8C"/>
    <w:rPr>
      <w:rFonts w:cs="Segoe UI Light" w:eastAsiaTheme="minorHAnsi"/>
      <w:sz w:val="22"/>
      <w:szCs w:val="22"/>
      <w:lang w:eastAsia="en-US"/>
    </w:rPr>
  </w:style>
  <w:style w:customStyle="1" w:styleId="Ttulo2Car" w:type="character">
    <w:name w:val="Título 2 Car"/>
    <w:basedOn w:val="Fuentedeprrafopredeter"/>
    <w:link w:val="Ttulo2"/>
    <w:uiPriority w:val="9"/>
    <w:qFormat/>
    <w:rsid w:val="00A03E69"/>
    <w:rPr>
      <w:rFonts w:eastAsia="Times New Roman"/>
      <w:b/>
      <w:bCs/>
      <w:sz w:val="24"/>
      <w:szCs w:val="36"/>
    </w:rPr>
  </w:style>
  <w:style w:customStyle="1" w:styleId="Ttulo3Car" w:type="character">
    <w:name w:val="Título 3 Car"/>
    <w:basedOn w:val="Fuentedeprrafopredeter"/>
    <w:link w:val="Ttulo3"/>
    <w:uiPriority w:val="9"/>
    <w:qFormat/>
    <w:rsid w:val="00A03E69"/>
    <w:rPr>
      <w:rFonts w:eastAsia="Times New Roman"/>
      <w:b/>
      <w:bCs/>
      <w:sz w:val="24"/>
      <w:szCs w:val="27"/>
    </w:rPr>
  </w:style>
  <w:style w:customStyle="1" w:styleId="whitespace-normal" w:type="character">
    <w:name w:val="whitespace-normal"/>
    <w:basedOn w:val="Fuentedeprrafopredeter"/>
    <w:qFormat/>
  </w:style>
  <w:style w:customStyle="1" w:styleId="Ttulo1Car" w:type="character">
    <w:name w:val="Título 1 Car"/>
    <w:basedOn w:val="Fuentedeprrafopredeter"/>
    <w:link w:val="Ttulo1"/>
    <w:uiPriority w:val="9"/>
    <w:rsid w:val="00A03E69"/>
    <w:rPr>
      <w:rFonts w:cstheme="majorBidi" w:eastAsiaTheme="majorEastAsia"/>
      <w:b/>
      <w:sz w:val="24"/>
      <w:szCs w:val="32"/>
      <w:lang w:eastAsia="en-US"/>
    </w:rPr>
  </w:style>
  <w:style w:styleId="Descripcin" w:type="paragraph">
    <w:name w:val="caption"/>
    <w:basedOn w:val="Normal"/>
    <w:next w:val="Normal"/>
    <w:uiPriority w:val="35"/>
    <w:unhideWhenUsed/>
    <w:qFormat/>
    <w:rsid w:val="00105C5C"/>
    <w:pPr>
      <w:spacing w:after="200" w:line="240" w:lineRule="auto"/>
    </w:pPr>
    <w:rPr>
      <w:b/>
      <w:iCs/>
      <w:sz w:val="18"/>
      <w:szCs w:val="18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BB0AB1"/>
    <w:rPr>
      <w:rFonts w:cstheme="majorBidi" w:eastAsiaTheme="majorEastAsia"/>
      <w:i/>
      <w:iCs/>
      <w:sz w:val="22"/>
      <w:szCs w:val="22"/>
      <w:lang w:eastAsia="en-US"/>
    </w:rPr>
  </w:style>
  <w:style w:styleId="Tablaconcuadrcula" w:type="table">
    <w:name w:val="Table Grid"/>
    <w:basedOn w:val="Tablanormal"/>
    <w:uiPriority w:val="39"/>
    <w:rsid w:val="004B46E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anormal2" w:type="table">
    <w:name w:val="Plain Table 2"/>
    <w:basedOn w:val="Tablanormal"/>
    <w:uiPriority w:val="42"/>
    <w:rsid w:val="004B46E1"/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7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1.xml" Type="http://schemas.openxmlformats.org/officeDocument/2006/relationships/header" /><Relationship Id="rId9" Target="media/image1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image" Id="rId56" Target="media/rId56.jpg" /><Relationship Type="http://schemas.openxmlformats.org/officeDocument/2006/relationships/image" Id="rId50" Target="media/rId50.jpg" /><Relationship Type="http://schemas.openxmlformats.org/officeDocument/2006/relationships/image" Id="rId46" Target="media/rId46.jpg" /><Relationship Type="http://schemas.openxmlformats.org/officeDocument/2006/relationships/image" Id="rId66" Target="media/rId66.jpg" /><Relationship Type="http://schemas.openxmlformats.org/officeDocument/2006/relationships/image" Id="rId62" Target="media/rId62.jpg" /><Relationship Type="http://schemas.openxmlformats.org/officeDocument/2006/relationships/image" Id="rId28" Target="media/rId28.jpg" /><Relationship Type="http://schemas.openxmlformats.org/officeDocument/2006/relationships/image" Id="rId24" Target="media/rId24.jpg" /><Relationship Type="http://schemas.openxmlformats.org/officeDocument/2006/relationships/image" Id="rId40" Target="media/rId40.jpg" /><Relationship Type="http://schemas.openxmlformats.org/officeDocument/2006/relationships/image" Id="rId36" Target="media/rId36.jpg" /><Relationship Type="http://schemas.openxmlformats.org/officeDocument/2006/relationships/hyperlink" Id="rId178" Target="https://doi.org/10.60545/eifqjo" TargetMode="External" /><Relationship Type="http://schemas.openxmlformats.org/officeDocument/2006/relationships/hyperlink" Id="rId176" Target="https://scholarspace.manoa.hawaii.edu/server/api/core/bitstreams/b80ee8d6-b073-4788-b63e-176042ec952d/content" TargetMode="External" /><Relationship Type="http://schemas.openxmlformats.org/officeDocument/2006/relationships/hyperlink" Id="rId53" Target="https://www.inaturalist.org/observations/141982960" TargetMode="External" /><Relationship Type="http://schemas.openxmlformats.org/officeDocument/2006/relationships/hyperlink" Id="rId49" Target="https://www.inaturalist.org/observations/144882591" TargetMode="External" /><Relationship Type="http://schemas.openxmlformats.org/officeDocument/2006/relationships/hyperlink" Id="rId69" Target="https://www.inaturalist.org/observations/146446385" TargetMode="External" /><Relationship Type="http://schemas.openxmlformats.org/officeDocument/2006/relationships/hyperlink" Id="rId65" Target="https://www.inaturalist.org/observations/146479259" TargetMode="External" /><Relationship Type="http://schemas.openxmlformats.org/officeDocument/2006/relationships/hyperlink" Id="rId31" Target="https://www.inaturalist.org/observations/147781902" TargetMode="External" /><Relationship Type="http://schemas.openxmlformats.org/officeDocument/2006/relationships/hyperlink" Id="rId27" Target="https://www.inaturalist.org/observations/263432122" TargetMode="External" /><Relationship Type="http://schemas.openxmlformats.org/officeDocument/2006/relationships/hyperlink" Id="rId43" Target="https://www.inaturalist.org/observations/334766621" TargetMode="External" /><Relationship Type="http://schemas.openxmlformats.org/officeDocument/2006/relationships/hyperlink" Id="rId39" Target="https://www.inaturalist.org/observations/345739262" TargetMode="External" /><Relationship Type="http://schemas.openxmlformats.org/officeDocument/2006/relationships/hyperlink" Id="rId59" Target="https://www.inaturalist.org/observations/7194364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8" Target="https://doi.org/10.60545/eifqjo" TargetMode="External" /><Relationship Type="http://schemas.openxmlformats.org/officeDocument/2006/relationships/hyperlink" Id="rId176" Target="https://scholarspace.manoa.hawaii.edu/server/api/core/bitstreams/b80ee8d6-b073-4788-b63e-176042ec952d/content" TargetMode="External" /><Relationship Type="http://schemas.openxmlformats.org/officeDocument/2006/relationships/hyperlink" Id="rId53" Target="https://www.inaturalist.org/observations/141982960" TargetMode="External" /><Relationship Type="http://schemas.openxmlformats.org/officeDocument/2006/relationships/hyperlink" Id="rId49" Target="https://www.inaturalist.org/observations/144882591" TargetMode="External" /><Relationship Type="http://schemas.openxmlformats.org/officeDocument/2006/relationships/hyperlink" Id="rId69" Target="https://www.inaturalist.org/observations/146446385" TargetMode="External" /><Relationship Type="http://schemas.openxmlformats.org/officeDocument/2006/relationships/hyperlink" Id="rId65" Target="https://www.inaturalist.org/observations/146479259" TargetMode="External" /><Relationship Type="http://schemas.openxmlformats.org/officeDocument/2006/relationships/hyperlink" Id="rId31" Target="https://www.inaturalist.org/observations/147781902" TargetMode="External" /><Relationship Type="http://schemas.openxmlformats.org/officeDocument/2006/relationships/hyperlink" Id="rId27" Target="https://www.inaturalist.org/observations/263432122" TargetMode="External" /><Relationship Type="http://schemas.openxmlformats.org/officeDocument/2006/relationships/hyperlink" Id="rId43" Target="https://www.inaturalist.org/observations/334766621" TargetMode="External" /><Relationship Type="http://schemas.openxmlformats.org/officeDocument/2006/relationships/hyperlink" Id="rId39" Target="https://www.inaturalist.org/observations/345739262" TargetMode="External" /><Relationship Type="http://schemas.openxmlformats.org/officeDocument/2006/relationships/hyperlink" Id="rId59" Target="https://www.inaturalist.org/observations/71943648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17</Pages>
  <Words>2916</Words>
  <Characters>16039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envYura</dc:title>
  <dc:creator>Marcelo F. Amores Palma</dc:creator>
  <dc:language>es</dc:language>
  <cp:keywords/>
  <dcterms:created xsi:type="dcterms:W3CDTF">2026-09-04T02:35:40Z</dcterms:created>
  <dcterms:modified xsi:type="dcterms:W3CDTF">2026-09-04T02:35:40Z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apalike</vt:lpwstr>
  </property>
  <property fmtid="{D5CDD505-2E9C-101B-9397-08002B2CF9AE}" pid="5" name="bibliography">
    <vt:lpwstr/>
  </property>
  <property fmtid="{D5CDD505-2E9C-101B-9397-08002B2CF9AE}" pid="6" name="book">
    <vt:lpwstr/>
  </property>
  <property fmtid="{D5CDD505-2E9C-101B-9397-08002B2CF9AE}" pid="7" name="by-author">
    <vt:lpwstr/>
  </property>
  <property fmtid="{D5CDD505-2E9C-101B-9397-08002B2CF9AE}" pid="8" name="chapter-bibliography">
    <vt:lpwstr>True</vt:lpwstr>
  </property>
  <property fmtid="{D5CDD505-2E9C-101B-9397-08002B2CF9AE}" pid="9" name="citecolor">
    <vt:lpwstr>blue</vt:lpwstr>
  </property>
  <property fmtid="{D5CDD505-2E9C-101B-9397-08002B2CF9AE}" pid="10" name="colorlinks">
    <vt:lpwstr>True</vt:lpwstr>
  </property>
  <property fmtid="{D5CDD505-2E9C-101B-9397-08002B2CF9AE}" pid="11" name="crossref">
    <vt:lpwstr/>
  </property>
  <property fmtid="{D5CDD505-2E9C-101B-9397-08002B2CF9AE}" pid="12" name="csl">
    <vt:lpwstr>comp_files/apa-numeric-superscript-brackets.csl</vt:lpwstr>
  </property>
  <property fmtid="{D5CDD505-2E9C-101B-9397-08002B2CF9AE}" pid="13" name="date">
    <vt:lpwstr>septiembre, 2026</vt:lpwstr>
  </property>
  <property fmtid="{D5CDD505-2E9C-101B-9397-08002B2CF9AE}" pid="14" name="date-format">
    <vt:lpwstr>MMMM, YYYY</vt:lpwstr>
  </property>
  <property fmtid="{D5CDD505-2E9C-101B-9397-08002B2CF9AE}" pid="15" name="engines">
    <vt:lpwstr/>
  </property>
  <property fmtid="{D5CDD505-2E9C-101B-9397-08002B2CF9AE}" pid="16" name="fig.align">
    <vt:lpwstr>center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labels">
    <vt:lpwstr/>
  </property>
  <property fmtid="{D5CDD505-2E9C-101B-9397-08002B2CF9AE}" pid="21" name="linkcolor">
    <vt:lpwstr>blue</vt:lpwstr>
  </property>
  <property fmtid="{D5CDD505-2E9C-101B-9397-08002B2CF9AE}" pid="22" name="lof">
    <vt:lpwstr>False</vt:lpwstr>
  </property>
  <property fmtid="{D5CDD505-2E9C-101B-9397-08002B2CF9AE}" pid="23" name="lot">
    <vt:lpwstr>False</vt:lpwstr>
  </property>
  <property fmtid="{D5CDD505-2E9C-101B-9397-08002B2CF9AE}" pid="24" name="subtitle">
    <vt:lpwstr>Plantas susceptibles de uso sostenible en la zona andina de la provincia de Cotopaxi, Ecuador</vt:lpwstr>
  </property>
  <property fmtid="{D5CDD505-2E9C-101B-9397-08002B2CF9AE}" pid="25" name="template-partials">
    <vt:lpwstr/>
  </property>
  <property fmtid="{D5CDD505-2E9C-101B-9397-08002B2CF9AE}" pid="26" name="toc-title">
    <vt:lpwstr>Tabla de contenidos</vt:lpwstr>
  </property>
  <property fmtid="{D5CDD505-2E9C-101B-9397-08002B2CF9AE}" pid="27" name="urlcolor">
    <vt:lpwstr>blue</vt:lpwstr>
  </property>
</Properties>
</file>