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24" w:space="6"/>
        </w:pBdr>
        <w:spacing w:after="0"/>
      </w:pPr>
      <w:r>
        <w:rPr>
          <w:rFonts w:ascii="Arial" w:cs="Arial" w:eastAsia="Arial" w:hAnsi="Arial"/>
          <w:b/>
          <w:bCs/>
          <w:color w:val="171717"/>
          <w:sz w:val="36"/>
          <w:szCs w:val="36"/>
        </w:rPr>
        <w:t xml:space="preserve">RERA</w:t>
      </w:r>
      <w:r>
        <w:rPr>
          <w:rFonts w:ascii="Arial" w:cs="Arial" w:eastAsia="Arial" w:hAnsi="Arial"/>
          <w:b/>
          <w:bCs/>
          <w:i/>
          <w:iCs/>
          <w:color w:val="C79500"/>
          <w:sz w:val="36"/>
          <w:szCs w:val="36"/>
        </w:rPr>
        <w:t xml:space="preserve">Easy</w:t>
      </w:r>
      <w:r>
        <w:rPr>
          <w:rFonts w:ascii="Arial" w:cs="Arial" w:eastAsia="Arial" w:hAnsi="Arial"/>
          <w:color w:val="6B7A90"/>
          <w:sz w:val="20"/>
          <w:szCs w:val="20"/>
        </w:rPr>
        <w:t xml:space="preserve">   Real Estate Market Intelligence</w:t>
      </w:r>
    </w:p>
    <w:p>
      <w:pPr>
        <w:spacing w:after="40" w:before="220"/>
      </w:pPr>
      <w:r>
        <w:rPr>
          <w:rFonts w:ascii="Arial" w:cs="Arial" w:eastAsia="Arial" w:hAnsi="Arial"/>
          <w:b/>
          <w:bCs/>
          <w:color w:val="171717"/>
          <w:sz w:val="40"/>
          <w:szCs w:val="40"/>
        </w:rPr>
        <w:t xml:space="preserve">Maharashtra Real Estate Market Analysis</w:t>
      </w:r>
    </w:p>
    <w:p>
      <w:pPr>
        <w:spacing w:after="120"/>
      </w:pPr>
      <w:r>
        <w:rPr>
          <w:rFonts w:ascii="Arial" w:cs="Arial" w:eastAsia="Arial" w:hAnsi="Arial"/>
          <w:color w:val="5A6B82"/>
          <w:sz w:val="19"/>
          <w:szCs w:val="19"/>
        </w:rPr>
        <w:t xml:space="preserve">Area-wise market report derived from the MahaRERA project registry · Registration years 2017–2026</w:t>
      </w:r>
    </w:p>
    <w:p>
      <w:pPr>
        <w:spacing w:after="120"/>
      </w:pPr>
      <w:r>
        <w:rPr>
          <w:rFonts w:ascii="Arial" w:cs="Arial" w:eastAsia="Arial" w:hAnsi="Arial"/>
          <w:i/>
          <w:iCs/>
          <w:color w:val="5A6B82"/>
          <w:sz w:val="18"/>
          <w:szCs w:val="18"/>
        </w:rPr>
        <w:t xml:space="preserve">Prepared for Business Development &amp; Developer Relations  |  Confidential</w:t>
      </w:r>
    </w:p>
    <w:p>
      <w:pPr>
        <w:spacing w:after="120"/>
      </w:pPr>
      <w:r>
        <w:rPr>
          <w:rFonts w:ascii="Arial" w:cs="Arial" w:eastAsia="Arial" w:hAnsi="Arial"/>
          <w:color w:val="8A7A3A"/>
          <w:sz w:val="17"/>
          <w:szCs w:val="17"/>
        </w:rPr>
        <w:t xml:space="preserve">RERA Easy  ·  Pune +91 91384 90809  ·  Mumbai +91 99879 57851  ·  info@reraeasy.com</w:t>
      </w:r>
    </w:p>
    <w:p>
      <w:pPr>
        <w:pStyle w:val="Heading1"/>
      </w:pPr>
      <w:r>
        <w:t xml:space="preserve">1. Executive Summary</w:t>
      </w:r>
    </w:p>
    <w:p>
      <w:pPr>
        <w:spacing w:after="120"/>
      </w:pPr>
      <w:r>
        <w:rPr>
          <w:rFonts w:ascii="Arial" w:cs="Arial" w:eastAsia="Arial" w:hAnsi="Arial"/>
          <w:sz w:val="20"/>
          <w:szCs w:val="20"/>
        </w:rPr>
        <w:t xml:space="preserve">Maharashtra's RERA-registered pipeline comprises </w:t>
      </w:r>
      <w:r>
        <w:rPr>
          <w:rFonts w:ascii="Arial" w:cs="Arial" w:eastAsia="Arial" w:hAnsi="Arial"/>
          <w:b/>
          <w:bCs/>
          <w:sz w:val="20"/>
          <w:szCs w:val="20"/>
        </w:rPr>
        <w:t xml:space="preserve">53,095 projects</w:t>
      </w:r>
      <w:r>
        <w:rPr>
          <w:rFonts w:ascii="Arial" w:cs="Arial" w:eastAsia="Arial" w:hAnsi="Arial"/>
          <w:sz w:val="20"/>
          <w:szCs w:val="20"/>
        </w:rPr>
        <w:t xml:space="preserve">, spanning </w:t>
      </w:r>
      <w:r>
        <w:rPr>
          <w:rFonts w:ascii="Arial" w:cs="Arial" w:eastAsia="Arial" w:hAnsi="Arial"/>
          <w:b/>
          <w:bCs/>
          <w:sz w:val="20"/>
          <w:szCs w:val="20"/>
        </w:rPr>
        <w:t xml:space="preserve">42.15 L units</w:t>
      </w:r>
      <w:r>
        <w:rPr>
          <w:rFonts w:ascii="Arial" w:cs="Arial" w:eastAsia="Arial" w:hAnsi="Arial"/>
          <w:sz w:val="20"/>
          <w:szCs w:val="20"/>
        </w:rPr>
        <w:t xml:space="preserve">, </w:t>
      </w:r>
      <w:r>
        <w:rPr>
          <w:rFonts w:ascii="Arial" w:cs="Arial" w:eastAsia="Arial" w:hAnsi="Arial"/>
          <w:b/>
          <w:bCs/>
          <w:sz w:val="20"/>
          <w:szCs w:val="20"/>
        </w:rPr>
        <w:t xml:space="preserve">27.24 Cr sq. m of carpet area</w:t>
      </w:r>
      <w:r>
        <w:rPr>
          <w:rFonts w:ascii="Arial" w:cs="Arial" w:eastAsia="Arial" w:hAnsi="Arial"/>
          <w:sz w:val="20"/>
          <w:szCs w:val="20"/>
        </w:rPr>
        <w:t xml:space="preserve"> and 26.70 Cr sq. m of sanctioned built-up area across the period 2017–2026. </w:t>
      </w:r>
      <w:r>
        <w:rPr>
          <w:rFonts w:ascii="Arial" w:cs="Arial" w:eastAsia="Arial" w:hAnsi="Arial"/>
          <w:sz w:val="20"/>
          <w:szCs w:val="20"/>
        </w:rPr>
        <w:t xml:space="preserve">The market is predominantly residential, with residential / group housing making up </w:t>
      </w:r>
      <w:r>
        <w:rPr>
          <w:rFonts w:ascii="Arial" w:cs="Arial" w:eastAsia="Arial" w:hAnsi="Arial"/>
          <w:b/>
          <w:bCs/>
          <w:sz w:val="20"/>
          <w:szCs w:val="20"/>
        </w:rPr>
        <w:t xml:space="preserve">63%</w:t>
      </w:r>
      <w:r>
        <w:rPr>
          <w:rFonts w:ascii="Arial" w:cs="Arial" w:eastAsia="Arial" w:hAnsi="Arial"/>
          <w:sz w:val="20"/>
          <w:szCs w:val="20"/>
        </w:rPr>
        <w:t xml:space="preserve"> of all registrations. Delivery performance stands at a </w:t>
      </w:r>
      <w:r>
        <w:rPr>
          <w:rFonts w:ascii="Arial" w:cs="Arial" w:eastAsia="Arial" w:hAnsi="Arial"/>
          <w:b/>
          <w:bCs/>
          <w:sz w:val="20"/>
          <w:szCs w:val="20"/>
        </w:rPr>
        <w:t xml:space="preserve">38.7% completion rate</w:t>
      </w:r>
      <w:r>
        <w:rPr>
          <w:rFonts w:ascii="Arial" w:cs="Arial" w:eastAsia="Arial" w:hAnsi="Arial"/>
          <w:sz w:val="20"/>
          <w:szCs w:val="20"/>
        </w:rPr>
        <w:t xml:space="preserve"> against a </w:t>
      </w:r>
      <w:r>
        <w:rPr>
          <w:rFonts w:ascii="Arial" w:cs="Arial" w:eastAsia="Arial" w:hAnsi="Arial"/>
          <w:b/>
          <w:bCs/>
          <w:sz w:val="20"/>
          <w:szCs w:val="20"/>
        </w:rPr>
        <w:t xml:space="preserve">26.2% lapse rate</w:t>
      </w:r>
      <w:r>
        <w:rPr>
          <w:rFonts w:ascii="Arial" w:cs="Arial" w:eastAsia="Arial" w:hAnsi="Arial"/>
          <w:sz w:val="20"/>
          <w:szCs w:val="20"/>
        </w:rPr>
        <w:t xml:space="preserve">, with the average project taking 1,446 days (~4.0 years) to complete.</w:t>
      </w:r>
    </w:p>
    <w:p>
      <w:pPr>
        <w:spacing w:after="120"/>
      </w:pPr>
      <w:r>
        <w:rPr>
          <w:rFonts w:ascii="Arial" w:cs="Arial" w:eastAsia="Arial" w:hAnsi="Arial"/>
          <w:sz w:val="20"/>
          <w:szCs w:val="20"/>
        </w:rPr>
        <w:t xml:space="preserve">Supply is heavily concentrated: the </w:t>
      </w:r>
      <w:r>
        <w:rPr>
          <w:rFonts w:ascii="Arial" w:cs="Arial" w:eastAsia="Arial" w:hAnsi="Arial"/>
          <w:b/>
          <w:bCs/>
          <w:sz w:val="20"/>
          <w:szCs w:val="20"/>
        </w:rPr>
        <w:t xml:space="preserve">top three districts account for 51.2%</w:t>
      </w:r>
      <w:r>
        <w:rPr>
          <w:rFonts w:ascii="Arial" w:cs="Arial" w:eastAsia="Arial" w:hAnsi="Arial"/>
          <w:sz w:val="20"/>
          <w:szCs w:val="20"/>
        </w:rPr>
        <w:t xml:space="preserve"> of all registered projects and the top ten for 87.6%. </w:t>
      </w:r>
      <w:r>
        <w:rPr>
          <w:rFonts w:ascii="Arial" w:cs="Arial" w:eastAsia="Arial" w:hAnsi="Arial"/>
          <w:sz w:val="20"/>
          <w:szCs w:val="20"/>
        </w:rPr>
        <w:t xml:space="preserve">New-launch momentum has effectively plateaued — the last three full years (2023–25) registered 14,366 projects versus 14,306 in 2020–22 (+0%), signalling a market shifting from fresh supply toward absorption and completion of existing inventory.</w:t>
      </w:r>
    </w:p>
    <w:p>
      <w:pPr>
        <w:pStyle w:val="Heading2"/>
      </w:pPr>
      <w: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80"/>
        <w:gridCol w:w="3200"/>
        <w:gridCol w:w="1480"/>
      </w:tblGrid>
      <w:tr>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Registered Projects</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53,095</w:t>
            </w:r>
          </w:p>
        </w:tc>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Completion Rate</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38.7%</w:t>
            </w:r>
          </w:p>
        </w:tc>
      </w:tr>
      <w:tr>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Total Units</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42.15 L</w:t>
            </w:r>
          </w:p>
        </w:tc>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Lapse Rate</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26.2%</w:t>
            </w:r>
          </w:p>
        </w:tc>
      </w:tr>
      <w:tr>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Land Area (sq. m)</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17.88 Cr</w:t>
            </w:r>
          </w:p>
        </w:tc>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Active / Ongoing</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18,644</w:t>
            </w:r>
          </w:p>
        </w:tc>
      </w:tr>
      <w:tr>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Carpet Area (sq. m)</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27.24 Cr</w:t>
            </w:r>
          </w:p>
        </w:tc>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Avg. Completion Time</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4.0 yrs</w:t>
            </w:r>
          </w:p>
        </w:tc>
      </w:tr>
      <w:tr>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Built-Up Area (sq. m)</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26.70 Cr</w:t>
            </w:r>
          </w:p>
        </w:tc>
        <w:tc>
          <w:tcPr>
            <w:tcW w:type="dxa" w:w="32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bCs/>
                <w:color w:val="1B2430"/>
                <w:sz w:val="18"/>
                <w:szCs w:val="18"/>
              </w:rPr>
              <w:t xml:space="preserve">Total Complaints</w:t>
            </w:r>
          </w:p>
        </w:tc>
        <w:tc>
          <w:tcPr>
            <w:tcW w:type="dxa" w:w="14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8"/>
                <w:szCs w:val="18"/>
              </w:rPr>
              <w:t xml:space="preserve">31,746</w:t>
            </w:r>
          </w:p>
        </w:tc>
      </w:tr>
    </w:tbl>
    <w:p>
      <w:pPr>
        <w:pStyle w:val="Heading1"/>
      </w:pPr>
      <w:r>
        <w:t xml:space="preserve">2. Market Size &amp; Supply Composition</w:t>
      </w:r>
    </w:p>
    <w:p>
      <w:pPr>
        <w:spacing w:after="120"/>
      </w:pPr>
      <w:r>
        <w:rPr>
          <w:rFonts w:ascii="Arial" w:cs="Arial" w:eastAsia="Arial" w:hAnsi="Arial"/>
          <w:sz w:val="20"/>
          <w:szCs w:val="20"/>
        </w:rPr>
        <w:t xml:space="preserve">Average project size is 79 units and 5,131 sq. m of carpet area. The supply mix by project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left"/>
            </w:pPr>
            <w:r>
              <w:rPr>
                <w:rFonts w:ascii="Arial" w:cs="Arial" w:eastAsia="Arial" w:hAnsi="Arial"/>
                <w:b/>
                <w:bCs/>
                <w:color w:val="171717"/>
                <w:sz w:val="17"/>
                <w:szCs w:val="17"/>
              </w:rPr>
              <w:t xml:space="preserve">Project Type</w:t>
            </w:r>
          </w:p>
        </w:tc>
        <w:tc>
          <w:tcPr>
            <w:tcW w:type="dxa" w:w="250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Projects</w:t>
            </w:r>
          </w:p>
        </w:tc>
        <w:tc>
          <w:tcPr>
            <w:tcW w:type="dxa" w:w="250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Share</w:t>
            </w:r>
          </w:p>
        </w:tc>
      </w:tr>
      <w:tr>
        <w:tc>
          <w:tcPr>
            <w:tcW w:type="dxa" w:w="43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Residential / Group Housing</w:t>
            </w:r>
          </w:p>
        </w:tc>
        <w:tc>
          <w:tcPr>
            <w:tcW w:type="dxa" w:w="2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33,427</w:t>
            </w:r>
          </w:p>
        </w:tc>
        <w:tc>
          <w:tcPr>
            <w:tcW w:type="dxa" w:w="2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63.0%</w:t>
            </w:r>
          </w:p>
        </w:tc>
      </w:tr>
      <w:tr>
        <w:tc>
          <w:tcPr>
            <w:tcW w:type="dxa" w:w="43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Others</w:t>
            </w:r>
          </w:p>
        </w:tc>
        <w:tc>
          <w:tcPr>
            <w:tcW w:type="dxa" w:w="2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12,765</w:t>
            </w:r>
          </w:p>
        </w:tc>
        <w:tc>
          <w:tcPr>
            <w:tcW w:type="dxa" w:w="2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24.0%</w:t>
            </w:r>
          </w:p>
        </w:tc>
      </w:tr>
      <w:tr>
        <w:tc>
          <w:tcPr>
            <w:tcW w:type="dxa" w:w="43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Plotted</w:t>
            </w:r>
          </w:p>
        </w:tc>
        <w:tc>
          <w:tcPr>
            <w:tcW w:type="dxa" w:w="2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2,704</w:t>
            </w:r>
          </w:p>
        </w:tc>
        <w:tc>
          <w:tcPr>
            <w:tcW w:type="dxa" w:w="2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5.1%</w:t>
            </w:r>
          </w:p>
        </w:tc>
      </w:tr>
      <w:tr>
        <w:tc>
          <w:tcPr>
            <w:tcW w:type="dxa" w:w="43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Commercial</w:t>
            </w:r>
          </w:p>
        </w:tc>
        <w:tc>
          <w:tcPr>
            <w:tcW w:type="dxa" w:w="2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2,377</w:t>
            </w:r>
          </w:p>
        </w:tc>
        <w:tc>
          <w:tcPr>
            <w:tcW w:type="dxa" w:w="2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4.5%</w:t>
            </w:r>
          </w:p>
        </w:tc>
      </w:tr>
      <w:tr>
        <w:tc>
          <w:tcPr>
            <w:tcW w:type="dxa" w:w="43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Mixed</w:t>
            </w:r>
          </w:p>
        </w:tc>
        <w:tc>
          <w:tcPr>
            <w:tcW w:type="dxa" w:w="2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1,822</w:t>
            </w:r>
          </w:p>
        </w:tc>
        <w:tc>
          <w:tcPr>
            <w:tcW w:type="dxa" w:w="2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3.4%</w:t>
            </w:r>
          </w:p>
        </w:tc>
      </w:tr>
    </w:tbl>
    <w:p>
      <w:pPr>
        <w:pStyle w:val="Heading1"/>
      </w:pPr>
      <w:r>
        <w:t xml:space="preserve">3. Registration Trend &amp; Demand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left"/>
            </w:pPr>
            <w:r>
              <w:rPr>
                <w:rFonts w:ascii="Arial" w:cs="Arial" w:eastAsia="Arial" w:hAnsi="Arial"/>
                <w:b/>
                <w:bCs/>
                <w:color w:val="171717"/>
                <w:sz w:val="17"/>
                <w:szCs w:val="17"/>
              </w:rPr>
              <w:t xml:space="preserve">Registration Year</w:t>
            </w:r>
          </w:p>
        </w:tc>
        <w:tc>
          <w:tcPr>
            <w:tcW w:type="dxa" w:w="312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New Registrations</w:t>
            </w:r>
          </w:p>
        </w:tc>
        <w:tc>
          <w:tcPr>
            <w:tcW w:type="dxa" w:w="312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Share of Total</w:t>
            </w:r>
          </w:p>
        </w:tc>
      </w:tr>
      <w:tr>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2017 (RERA launch)</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13,987</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26.3%</w:t>
            </w:r>
          </w:p>
        </w:tc>
      </w:tr>
      <w:tr>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2018</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4,184</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7.9%</w:t>
            </w:r>
          </w:p>
        </w:tc>
      </w:tr>
      <w:tr>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2019</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4,459</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8.4%</w:t>
            </w:r>
          </w:p>
        </w:tc>
      </w:tr>
      <w:tr>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2020</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3,934</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7.4%</w:t>
            </w:r>
          </w:p>
        </w:tc>
      </w:tr>
      <w:tr>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2021</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4,500</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8.5%</w:t>
            </w:r>
          </w:p>
        </w:tc>
      </w:tr>
      <w:tr>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2022</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5,872</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11.1%</w:t>
            </w:r>
          </w:p>
        </w:tc>
      </w:tr>
      <w:tr>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2023</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5,623</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10.6%</w:t>
            </w:r>
          </w:p>
        </w:tc>
      </w:tr>
      <w:tr>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2024</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4,482</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8.4%</w:t>
            </w:r>
          </w:p>
        </w:tc>
      </w:tr>
      <w:tr>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2025</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4,261</w:t>
            </w:r>
          </w:p>
        </w:tc>
        <w:tc>
          <w:tcPr>
            <w:tcW w:type="dxa" w:w="31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8.0%</w:t>
            </w:r>
          </w:p>
        </w:tc>
      </w:tr>
      <w:tr>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2026 (YTD)</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1,793</w:t>
            </w:r>
          </w:p>
        </w:tc>
        <w:tc>
          <w:tcPr>
            <w:tcW w:type="dxa" w:w="31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3.4%</w:t>
            </w:r>
          </w:p>
        </w:tc>
      </w:tr>
    </w:tbl>
    <w:p>
      <w:pPr>
        <w:spacing w:after="120"/>
      </w:pPr>
      <w:r>
        <w:rPr>
          <w:rFonts w:ascii="Arial" w:cs="Arial" w:eastAsia="Arial" w:hAnsi="Arial"/>
          <w:sz w:val="20"/>
          <w:szCs w:val="20"/>
        </w:rPr>
        <w:t xml:space="preserve">The 2017 peak (13,987 projects) reflects the launch-year backlog when MahaRERA first opened registrations; trend reading is most reliable from 2018 onward. </w:t>
      </w:r>
      <w:r>
        <w:rPr>
          <w:rFonts w:ascii="Arial" w:cs="Arial" w:eastAsia="Arial" w:hAnsi="Arial"/>
          <w:sz w:val="20"/>
          <w:szCs w:val="20"/>
        </w:rPr>
        <w:t xml:space="preserve">Volumes rebuilt to a secondary peak mid-period and have eased since, leaving overall momentum broadly flat. 2026 is year-to-date and partial. For business development this points to a maturing market where completion track-record and inventory absorption matter more than raw new-launch counts.</w:t>
      </w:r>
    </w:p>
    <w:p>
      <w:pPr>
        <w:pStyle w:val="Heading1"/>
      </w:pPr>
      <w:r>
        <w:t xml:space="preserve">4. Regional Analysis — Division-wise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000"/>
        <w:gridCol w:w="780"/>
        <w:gridCol w:w="1240"/>
        <w:gridCol w:w="1060"/>
        <w:gridCol w:w="1020"/>
        <w:gridCol w:w="1100"/>
        <w:gridCol w:w="1500"/>
      </w:tblGrid>
      <w:tr>
        <w:trPr>
          <w:tblHeader/>
        </w:trPr>
        <w:tc>
          <w:tcPr>
            <w:tcW w:type="dxa" w:w="166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left"/>
            </w:pPr>
            <w:r>
              <w:rPr>
                <w:rFonts w:ascii="Arial" w:cs="Arial" w:eastAsia="Arial" w:hAnsi="Arial"/>
                <w:b/>
                <w:bCs/>
                <w:color w:val="171717"/>
                <w:sz w:val="17"/>
                <w:szCs w:val="17"/>
              </w:rPr>
              <w:t xml:space="preserve">Division</w:t>
            </w:r>
          </w:p>
        </w:tc>
        <w:tc>
          <w:tcPr>
            <w:tcW w:type="dxa" w:w="100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Projects</w:t>
            </w:r>
          </w:p>
        </w:tc>
        <w:tc>
          <w:tcPr>
            <w:tcW w:type="dxa" w:w="78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Share</w:t>
            </w:r>
          </w:p>
        </w:tc>
        <w:tc>
          <w:tcPr>
            <w:tcW w:type="dxa" w:w="124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Units</w:t>
            </w:r>
          </w:p>
        </w:tc>
        <w:tc>
          <w:tcPr>
            <w:tcW w:type="dxa" w:w="106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Compl.%</w:t>
            </w:r>
          </w:p>
        </w:tc>
        <w:tc>
          <w:tcPr>
            <w:tcW w:type="dxa" w:w="102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Lapse%</w:t>
            </w:r>
          </w:p>
        </w:tc>
        <w:tc>
          <w:tcPr>
            <w:tcW w:type="dxa" w:w="110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Avg Days</w:t>
            </w:r>
          </w:p>
        </w:tc>
        <w:tc>
          <w:tcPr>
            <w:tcW w:type="dxa" w:w="150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Complaints</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Konkan</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25,279</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47.6%</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22.90 L</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35.9%</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25.3%</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1,545</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21,897</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Pune</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16,858</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31.8%</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13.17 L</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38.5%</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28%</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1,375</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8,954</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Nashik</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4,844</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9.1%</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2.23 L</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53.1%</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21.8%</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1,292</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341</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Nagpur</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3,208</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6.0%</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2.22 L</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41.5%</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23.5%</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1,357</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400</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Aurangabad</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1,958</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3.7%</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1.08 L</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36.3%</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34.8%</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1,378</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101</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Amravati</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699</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34,999</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41.5%</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35.5%</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1,176</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44</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Dadra &amp; Nagar Haveli</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199</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0.4%</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15,871</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27.1%</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30.2%</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1,605</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9</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Daman &amp; Diu</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49</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0.1%</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3,751</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26.5%</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30.6%</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1,647</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0</w:t>
            </w:r>
          </w:p>
        </w:tc>
      </w:tr>
    </w:tbl>
    <w:p>
      <w:pPr>
        <w:spacing w:after="120"/>
      </w:pPr>
      <w:r>
        <w:rPr>
          <w:rFonts w:ascii="Arial" w:cs="Arial" w:eastAsia="Arial" w:hAnsi="Arial"/>
          <w:sz w:val="20"/>
          <w:szCs w:val="20"/>
        </w:rPr>
        <w:t xml:space="preserve">Konkan (the Mumbai Metropolitan belt) leads with 25,279 projects (48% of the state), followed by Pune at 32%. Together these two divisions hold roughly 79% of all registered development — the clear focus for volume-led campaigns.</w:t>
      </w:r>
    </w:p>
    <w:p>
      <w:pPr>
        <w:pStyle w:val="Heading1"/>
      </w:pPr>
      <w:r>
        <w:t xml:space="preserve">5. District-wise Breakdown (Top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000"/>
        <w:gridCol w:w="780"/>
        <w:gridCol w:w="1240"/>
        <w:gridCol w:w="1060"/>
        <w:gridCol w:w="1020"/>
        <w:gridCol w:w="1100"/>
        <w:gridCol w:w="1500"/>
      </w:tblGrid>
      <w:tr>
        <w:trPr>
          <w:tblHeader/>
        </w:trPr>
        <w:tc>
          <w:tcPr>
            <w:tcW w:type="dxa" w:w="166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left"/>
            </w:pPr>
            <w:r>
              <w:rPr>
                <w:rFonts w:ascii="Arial" w:cs="Arial" w:eastAsia="Arial" w:hAnsi="Arial"/>
                <w:b/>
                <w:bCs/>
                <w:color w:val="171717"/>
                <w:sz w:val="17"/>
                <w:szCs w:val="17"/>
              </w:rPr>
              <w:t xml:space="preserve">District</w:t>
            </w:r>
          </w:p>
        </w:tc>
        <w:tc>
          <w:tcPr>
            <w:tcW w:type="dxa" w:w="100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Projects</w:t>
            </w:r>
          </w:p>
        </w:tc>
        <w:tc>
          <w:tcPr>
            <w:tcW w:type="dxa" w:w="78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Share</w:t>
            </w:r>
          </w:p>
        </w:tc>
        <w:tc>
          <w:tcPr>
            <w:tcW w:type="dxa" w:w="124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Units</w:t>
            </w:r>
          </w:p>
        </w:tc>
        <w:tc>
          <w:tcPr>
            <w:tcW w:type="dxa" w:w="106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Compl.%</w:t>
            </w:r>
          </w:p>
        </w:tc>
        <w:tc>
          <w:tcPr>
            <w:tcW w:type="dxa" w:w="102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Lapse%</w:t>
            </w:r>
          </w:p>
        </w:tc>
        <w:tc>
          <w:tcPr>
            <w:tcW w:type="dxa" w:w="110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Avg Days</w:t>
            </w:r>
          </w:p>
        </w:tc>
        <w:tc>
          <w:tcPr>
            <w:tcW w:type="dxa" w:w="1500"/>
            <w:tcBorders>
              <w:top w:val="single" w:color="E5E7EB" w:sz="1"/>
              <w:left w:val="single" w:color="E5E7EB" w:sz="1"/>
              <w:bottom w:val="single" w:color="E5E7EB" w:sz="1"/>
              <w:right w:val="single" w:color="E5E7EB" w:sz="1"/>
            </w:tcBorders>
            <w:shd w:fill="F5C518" w:val="clear"/>
            <w:tcMar>
              <w:top w:type="dxa" w:w="60"/>
              <w:left w:type="dxa" w:w="110"/>
              <w:bottom w:type="dxa" w:w="60"/>
              <w:right w:type="dxa" w:w="110"/>
            </w:tcMar>
            <w:vAlign w:val="center"/>
          </w:tcPr>
          <w:p>
            <w:pPr>
              <w:jc w:val="right"/>
            </w:pPr>
            <w:r>
              <w:rPr>
                <w:rFonts w:ascii="Arial" w:cs="Arial" w:eastAsia="Arial" w:hAnsi="Arial"/>
                <w:b/>
                <w:bCs/>
                <w:color w:val="171717"/>
                <w:sz w:val="17"/>
                <w:szCs w:val="17"/>
              </w:rPr>
              <w:t xml:space="preserve">Complaints</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Pune</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13,584</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25.6%</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11.85 L</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38%</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27.1%</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1,376</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8,694</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Thane</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7,123</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13.4%</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8.34 L</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35.1%</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23.6%</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1,524</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5,390</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Mumbai Suburban</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6,452</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12.2%</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5.71 L</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35.1%</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22.8%</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1,564</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10,734</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Raigad</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5,658</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10.7%</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4.14 L</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42%</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26.7%</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1,428</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2,582</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Nashik</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4,060</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7.6%</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1.89 L</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53.9%</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20.3%</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1,300</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292</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Palghar</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3,058</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5.8%</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2.83 L</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28.6%</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27.7%</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1,663</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1,167</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Nagpur</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2,651</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5.0%</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1.91 L</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38.6%</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22.3%</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1,410</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393</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Aurangabad</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1,447</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2.7%</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79,542</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37.5%</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32.8%</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1,448</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83</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Mumbai City</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1,353</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2.5%</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1.15 L</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29%</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27.4%</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1,830</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1,804</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Satara</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1,136</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2.1%</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51,169</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33.2%</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34.8%</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1,529</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109</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Ratnagiri</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1,127</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2.1%</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47,027</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41.7%</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31.4%</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1,522</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82</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Kolhapur</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832</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1.6%</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31,669</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45%</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23.9%</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1,383</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46</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Sangli</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774</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1.5%</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21,481</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53.1%</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29.6%</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1,131</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17</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Solapur</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532</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27,913</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31.2%</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40.8%</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1,356</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88</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Sindhudurg</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508</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25,696</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36%</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30.7%</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1,496</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138</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Ahmednagar</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474</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0.9%</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20,769</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47%</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28.3%</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1,248</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36</w:t>
            </w:r>
          </w:p>
        </w:tc>
      </w:tr>
      <w:tr>
        <w:tc>
          <w:tcPr>
            <w:tcW w:type="dxa" w:w="16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Amravati</w:t>
            </w:r>
          </w:p>
        </w:tc>
        <w:tc>
          <w:tcPr>
            <w:tcW w:type="dxa" w:w="10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428</w:t>
            </w:r>
          </w:p>
        </w:tc>
        <w:tc>
          <w:tcPr>
            <w:tcW w:type="dxa" w:w="78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0.8%</w:t>
            </w:r>
          </w:p>
        </w:tc>
        <w:tc>
          <w:tcPr>
            <w:tcW w:type="dxa" w:w="124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19,579</w:t>
            </w:r>
          </w:p>
        </w:tc>
        <w:tc>
          <w:tcPr>
            <w:tcW w:type="dxa" w:w="106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43.2%</w:t>
            </w:r>
          </w:p>
        </w:tc>
        <w:tc>
          <w:tcPr>
            <w:tcW w:type="dxa" w:w="102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35.5%</w:t>
            </w:r>
          </w:p>
        </w:tc>
        <w:tc>
          <w:tcPr>
            <w:tcW w:type="dxa" w:w="11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1,233</w:t>
            </w:r>
          </w:p>
        </w:tc>
        <w:tc>
          <w:tcPr>
            <w:tcW w:type="dxa" w:w="1500"/>
            <w:tcBorders>
              <w:top w:val="single" w:color="E5E7EB" w:sz="1"/>
              <w:left w:val="single" w:color="E5E7EB" w:sz="1"/>
              <w:bottom w:val="single" w:color="E5E7EB" w:sz="1"/>
              <w:right w:val="single" w:color="E5E7EB" w:sz="1"/>
            </w:tcBorders>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34</w:t>
            </w:r>
          </w:p>
        </w:tc>
      </w:tr>
      <w:tr>
        <w:tc>
          <w:tcPr>
            <w:tcW w:type="dxa" w:w="16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left"/>
            </w:pPr>
            <w:r>
              <w:rPr>
                <w:rFonts w:ascii="Arial" w:cs="Arial" w:eastAsia="Arial" w:hAnsi="Arial"/>
                <w:b w:val="false"/>
                <w:bCs w:val="false"/>
                <w:color w:val="1B2430"/>
                <w:sz w:val="17"/>
                <w:szCs w:val="17"/>
              </w:rPr>
              <w:t xml:space="preserve">Wardha</w:t>
            </w:r>
          </w:p>
        </w:tc>
        <w:tc>
          <w:tcPr>
            <w:tcW w:type="dxa" w:w="10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287</w:t>
            </w:r>
          </w:p>
        </w:tc>
        <w:tc>
          <w:tcPr>
            <w:tcW w:type="dxa" w:w="78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0.5%</w:t>
            </w:r>
          </w:p>
        </w:tc>
        <w:tc>
          <w:tcPr>
            <w:tcW w:type="dxa" w:w="124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20,050</w:t>
            </w:r>
          </w:p>
        </w:tc>
        <w:tc>
          <w:tcPr>
            <w:tcW w:type="dxa" w:w="106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67.6%</w:t>
            </w:r>
          </w:p>
        </w:tc>
        <w:tc>
          <w:tcPr>
            <w:tcW w:type="dxa" w:w="102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18.5%</w:t>
            </w:r>
          </w:p>
        </w:tc>
        <w:tc>
          <w:tcPr>
            <w:tcW w:type="dxa" w:w="11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1,062</w:t>
            </w:r>
          </w:p>
        </w:tc>
        <w:tc>
          <w:tcPr>
            <w:tcW w:type="dxa" w:w="1500"/>
            <w:tcBorders>
              <w:top w:val="single" w:color="E5E7EB" w:sz="1"/>
              <w:left w:val="single" w:color="E5E7EB" w:sz="1"/>
              <w:bottom w:val="single" w:color="E5E7EB" w:sz="1"/>
              <w:right w:val="single" w:color="E5E7EB" w:sz="1"/>
            </w:tcBorders>
            <w:shd w:fill="FFFBEA" w:val="clear"/>
            <w:tcMar>
              <w:top w:type="dxa" w:w="60"/>
              <w:left w:type="dxa" w:w="110"/>
              <w:bottom w:type="dxa" w:w="60"/>
              <w:right w:type="dxa" w:w="110"/>
            </w:tcMar>
            <w:vAlign w:val="center"/>
          </w:tcPr>
          <w:p>
            <w:pPr>
              <w:jc w:val="right"/>
            </w:pPr>
            <w:r>
              <w:rPr>
                <w:rFonts w:ascii="Arial" w:cs="Arial" w:eastAsia="Arial" w:hAnsi="Arial"/>
                <w:b w:val="false"/>
                <w:bCs w:val="false"/>
                <w:color w:val="1B2430"/>
                <w:sz w:val="17"/>
                <w:szCs w:val="17"/>
              </w:rPr>
              <w:t xml:space="preserve">2</w:t>
            </w:r>
          </w:p>
        </w:tc>
      </w:tr>
    </w:tbl>
    <w:p>
      <w:pPr>
        <w:pStyle w:val="Heading1"/>
      </w:pPr>
      <w:r>
        <w:t xml:space="preserve">6. Market Concentration</w:t>
      </w:r>
    </w:p>
    <w:p>
      <w:pPr>
        <w:spacing w:after="120"/>
      </w:pPr>
      <w:r>
        <w:rPr>
          <w:rFonts w:ascii="Arial" w:cs="Arial" w:eastAsia="Arial" w:hAnsi="Arial"/>
          <w:sz w:val="20"/>
          <w:szCs w:val="20"/>
        </w:rPr>
        <w:t xml:space="preserve">Supply concentration is high. The top 3 districts (Pune, Thane, Mumbai Suburban) represent 51.2% of registered projects; the top 5 reach 69.5% and the top 10 87.6%. </w:t>
      </w:r>
      <w:r>
        <w:rPr>
          <w:rFonts w:ascii="Arial" w:cs="Arial" w:eastAsia="Arial" w:hAnsi="Arial"/>
          <w:sz w:val="20"/>
          <w:szCs w:val="20"/>
        </w:rPr>
        <w:t xml:space="preserve">This means campaign efficiency is maximised by prioritising a short list of dominant micro-markets, while the long tail of 29+ smaller districts offers lower-competition, white-space opportunities for differentiated positioning.</w:t>
      </w:r>
    </w:p>
    <w:p>
      <w:pPr>
        <w:pStyle w:val="Heading1"/>
      </w:pPr>
      <w:r>
        <w:t xml:space="preserve">7. Delivery Performance &amp; Risk</w:t>
      </w:r>
    </w:p>
    <w:p>
      <w:pPr>
        <w:spacing w:after="120"/>
      </w:pPr>
      <w:r>
        <w:rPr>
          <w:rFonts w:ascii="Arial" w:cs="Arial" w:eastAsia="Arial" w:hAnsi="Arial"/>
          <w:sz w:val="20"/>
          <w:szCs w:val="20"/>
        </w:rPr>
        <w:t xml:space="preserve">Of 53,095 projects, </w:t>
      </w:r>
      <w:r>
        <w:rPr>
          <w:rFonts w:ascii="Arial" w:cs="Arial" w:eastAsia="Arial" w:hAnsi="Arial"/>
          <w:b/>
          <w:bCs/>
          <w:color w:val="0F8A4F"/>
          <w:sz w:val="20"/>
          <w:szCs w:val="20"/>
        </w:rPr>
        <w:t xml:space="preserve">20,526 (38.7%) are completed</w:t>
      </w:r>
      <w:r>
        <w:rPr>
          <w:rFonts w:ascii="Arial" w:cs="Arial" w:eastAsia="Arial" w:hAnsi="Arial"/>
          <w:sz w:val="20"/>
          <w:szCs w:val="20"/>
        </w:rPr>
        <w:t xml:space="preserve">, 18,644 are active/ongoing, and </w:t>
      </w:r>
      <w:r>
        <w:rPr>
          <w:rFonts w:ascii="Arial" w:cs="Arial" w:eastAsia="Arial" w:hAnsi="Arial"/>
          <w:b/>
          <w:bCs/>
          <w:color w:val="C43B2F"/>
          <w:sz w:val="20"/>
          <w:szCs w:val="20"/>
        </w:rPr>
        <w:t xml:space="preserve">13,925 (26.2%) have lapsed</w:t>
      </w:r>
      <w:r>
        <w:rPr>
          <w:rFonts w:ascii="Arial" w:cs="Arial" w:eastAsia="Arial" w:hAnsi="Arial"/>
          <w:sz w:val="20"/>
          <w:szCs w:val="20"/>
        </w:rPr>
        <w:t xml:space="preserve">. Registered complaints total 31,746 (0.60 per project).</w:t>
      </w:r>
    </w:p>
    <w:p>
      <w:pPr>
        <w:pStyle w:val="Heading2"/>
      </w:pPr>
      <w:r>
        <w:t xml:space="preserve">Higher-risk districts — elevated lapse rate (≥300 projects)</w:t>
      </w:r>
    </w:p>
    <w:p>
      <w:pPr>
        <w:pStyle w:val="ListParagraph"/>
        <w:numPr>
          <w:ilvl w:val="0"/>
          <w:numId w:val="2"/>
        </w:numPr>
        <w:spacing w:after="80"/>
      </w:pPr>
      <w:r>
        <w:rPr>
          <w:rFonts w:ascii="Arial" w:cs="Arial" w:eastAsia="Arial" w:hAnsi="Arial"/>
          <w:b/>
          <w:bCs/>
          <w:sz w:val="20"/>
          <w:szCs w:val="20"/>
        </w:rPr>
        <w:t xml:space="preserve">Solapur — </w:t>
      </w:r>
      <w:r>
        <w:rPr>
          <w:rFonts w:ascii="Arial" w:cs="Arial" w:eastAsia="Arial" w:hAnsi="Arial"/>
          <w:sz w:val="20"/>
          <w:szCs w:val="20"/>
        </w:rPr>
        <w:t xml:space="preserve">40.8% lapsed, 31.2% completed (532 projects)</w:t>
      </w:r>
    </w:p>
    <w:p>
      <w:pPr>
        <w:pStyle w:val="ListParagraph"/>
        <w:numPr>
          <w:ilvl w:val="0"/>
          <w:numId w:val="2"/>
        </w:numPr>
        <w:spacing w:after="80"/>
      </w:pPr>
      <w:r>
        <w:rPr>
          <w:rFonts w:ascii="Arial" w:cs="Arial" w:eastAsia="Arial" w:hAnsi="Arial"/>
          <w:b/>
          <w:bCs/>
          <w:sz w:val="20"/>
          <w:szCs w:val="20"/>
        </w:rPr>
        <w:t xml:space="preserve">Amravati — </w:t>
      </w:r>
      <w:r>
        <w:rPr>
          <w:rFonts w:ascii="Arial" w:cs="Arial" w:eastAsia="Arial" w:hAnsi="Arial"/>
          <w:sz w:val="20"/>
          <w:szCs w:val="20"/>
        </w:rPr>
        <w:t xml:space="preserve">35.5% lapsed, 43.2% completed (428 projects)</w:t>
      </w:r>
    </w:p>
    <w:p>
      <w:pPr>
        <w:pStyle w:val="ListParagraph"/>
        <w:numPr>
          <w:ilvl w:val="0"/>
          <w:numId w:val="2"/>
        </w:numPr>
        <w:spacing w:after="80"/>
      </w:pPr>
      <w:r>
        <w:rPr>
          <w:rFonts w:ascii="Arial" w:cs="Arial" w:eastAsia="Arial" w:hAnsi="Arial"/>
          <w:b/>
          <w:bCs/>
          <w:sz w:val="20"/>
          <w:szCs w:val="20"/>
        </w:rPr>
        <w:t xml:space="preserve">Satara — </w:t>
      </w:r>
      <w:r>
        <w:rPr>
          <w:rFonts w:ascii="Arial" w:cs="Arial" w:eastAsia="Arial" w:hAnsi="Arial"/>
          <w:sz w:val="20"/>
          <w:szCs w:val="20"/>
        </w:rPr>
        <w:t xml:space="preserve">34.8% lapsed, 33.2% completed (1,136 projects)</w:t>
      </w:r>
    </w:p>
    <w:p>
      <w:pPr>
        <w:pStyle w:val="ListParagraph"/>
        <w:numPr>
          <w:ilvl w:val="0"/>
          <w:numId w:val="2"/>
        </w:numPr>
        <w:spacing w:after="80"/>
      </w:pPr>
      <w:r>
        <w:rPr>
          <w:rFonts w:ascii="Arial" w:cs="Arial" w:eastAsia="Arial" w:hAnsi="Arial"/>
          <w:b/>
          <w:bCs/>
          <w:sz w:val="20"/>
          <w:szCs w:val="20"/>
        </w:rPr>
        <w:t xml:space="preserve">Aurangabad — </w:t>
      </w:r>
      <w:r>
        <w:rPr>
          <w:rFonts w:ascii="Arial" w:cs="Arial" w:eastAsia="Arial" w:hAnsi="Arial"/>
          <w:sz w:val="20"/>
          <w:szCs w:val="20"/>
        </w:rPr>
        <w:t xml:space="preserve">32.8% lapsed, 37.5% completed (1,447 projects)</w:t>
      </w:r>
    </w:p>
    <w:p>
      <w:pPr>
        <w:pStyle w:val="ListParagraph"/>
        <w:numPr>
          <w:ilvl w:val="0"/>
          <w:numId w:val="2"/>
        </w:numPr>
        <w:spacing w:after="80"/>
      </w:pPr>
      <w:r>
        <w:rPr>
          <w:rFonts w:ascii="Arial" w:cs="Arial" w:eastAsia="Arial" w:hAnsi="Arial"/>
          <w:b/>
          <w:bCs/>
          <w:sz w:val="20"/>
          <w:szCs w:val="20"/>
        </w:rPr>
        <w:t xml:space="preserve">Ratnagiri — </w:t>
      </w:r>
      <w:r>
        <w:rPr>
          <w:rFonts w:ascii="Arial" w:cs="Arial" w:eastAsia="Arial" w:hAnsi="Arial"/>
          <w:sz w:val="20"/>
          <w:szCs w:val="20"/>
        </w:rPr>
        <w:t xml:space="preserve">31.4% lapsed, 41.7% completed (1,127 projects)</w:t>
      </w:r>
    </w:p>
    <w:p>
      <w:pPr>
        <w:pStyle w:val="ListParagraph"/>
        <w:numPr>
          <w:ilvl w:val="0"/>
          <w:numId w:val="2"/>
        </w:numPr>
        <w:spacing w:after="80"/>
      </w:pPr>
      <w:r>
        <w:rPr>
          <w:rFonts w:ascii="Arial" w:cs="Arial" w:eastAsia="Arial" w:hAnsi="Arial"/>
          <w:b/>
          <w:bCs/>
          <w:sz w:val="20"/>
          <w:szCs w:val="20"/>
        </w:rPr>
        <w:t xml:space="preserve">Sindhudurg — </w:t>
      </w:r>
      <w:r>
        <w:rPr>
          <w:rFonts w:ascii="Arial" w:cs="Arial" w:eastAsia="Arial" w:hAnsi="Arial"/>
          <w:sz w:val="20"/>
          <w:szCs w:val="20"/>
        </w:rPr>
        <w:t xml:space="preserve">30.7% lapsed, 36% completed (508 projects)</w:t>
      </w:r>
    </w:p>
    <w:p>
      <w:pPr>
        <w:pStyle w:val="Heading2"/>
      </w:pPr>
      <w:r>
        <w:t xml:space="preserve">Most reliable delivery track record (≥300 projects)</w:t>
      </w:r>
    </w:p>
    <w:p>
      <w:pPr>
        <w:pStyle w:val="ListParagraph"/>
        <w:numPr>
          <w:ilvl w:val="0"/>
          <w:numId w:val="2"/>
        </w:numPr>
        <w:spacing w:after="80"/>
      </w:pPr>
      <w:r>
        <w:rPr>
          <w:rFonts w:ascii="Arial" w:cs="Arial" w:eastAsia="Arial" w:hAnsi="Arial"/>
          <w:b/>
          <w:bCs/>
          <w:sz w:val="20"/>
          <w:szCs w:val="20"/>
        </w:rPr>
        <w:t xml:space="preserve">Nashik — </w:t>
      </w:r>
      <w:r>
        <w:rPr>
          <w:rFonts w:ascii="Arial" w:cs="Arial" w:eastAsia="Arial" w:hAnsi="Arial"/>
          <w:sz w:val="20"/>
          <w:szCs w:val="20"/>
        </w:rPr>
        <w:t xml:space="preserve">53.9% completed, 20.3% lapsed (4,060 projects)</w:t>
      </w:r>
    </w:p>
    <w:p>
      <w:pPr>
        <w:pStyle w:val="ListParagraph"/>
        <w:numPr>
          <w:ilvl w:val="0"/>
          <w:numId w:val="2"/>
        </w:numPr>
        <w:spacing w:after="80"/>
      </w:pPr>
      <w:r>
        <w:rPr>
          <w:rFonts w:ascii="Arial" w:cs="Arial" w:eastAsia="Arial" w:hAnsi="Arial"/>
          <w:b/>
          <w:bCs/>
          <w:sz w:val="20"/>
          <w:szCs w:val="20"/>
        </w:rPr>
        <w:t xml:space="preserve">Sangli — </w:t>
      </w:r>
      <w:r>
        <w:rPr>
          <w:rFonts w:ascii="Arial" w:cs="Arial" w:eastAsia="Arial" w:hAnsi="Arial"/>
          <w:sz w:val="20"/>
          <w:szCs w:val="20"/>
        </w:rPr>
        <w:t xml:space="preserve">53.1% completed, 29.6% lapsed (774 projects)</w:t>
      </w:r>
    </w:p>
    <w:p>
      <w:pPr>
        <w:pStyle w:val="ListParagraph"/>
        <w:numPr>
          <w:ilvl w:val="0"/>
          <w:numId w:val="2"/>
        </w:numPr>
        <w:spacing w:after="80"/>
      </w:pPr>
      <w:r>
        <w:rPr>
          <w:rFonts w:ascii="Arial" w:cs="Arial" w:eastAsia="Arial" w:hAnsi="Arial"/>
          <w:b/>
          <w:bCs/>
          <w:sz w:val="20"/>
          <w:szCs w:val="20"/>
        </w:rPr>
        <w:t xml:space="preserve">Ahmednagar — </w:t>
      </w:r>
      <w:r>
        <w:rPr>
          <w:rFonts w:ascii="Arial" w:cs="Arial" w:eastAsia="Arial" w:hAnsi="Arial"/>
          <w:sz w:val="20"/>
          <w:szCs w:val="20"/>
        </w:rPr>
        <w:t xml:space="preserve">47% completed, 28.3% lapsed (474 projects)</w:t>
      </w:r>
    </w:p>
    <w:p>
      <w:pPr>
        <w:pStyle w:val="ListParagraph"/>
        <w:numPr>
          <w:ilvl w:val="0"/>
          <w:numId w:val="2"/>
        </w:numPr>
        <w:spacing w:after="80"/>
      </w:pPr>
      <w:r>
        <w:rPr>
          <w:rFonts w:ascii="Arial" w:cs="Arial" w:eastAsia="Arial" w:hAnsi="Arial"/>
          <w:b/>
          <w:bCs/>
          <w:sz w:val="20"/>
          <w:szCs w:val="20"/>
        </w:rPr>
        <w:t xml:space="preserve">Kolhapur — </w:t>
      </w:r>
      <w:r>
        <w:rPr>
          <w:rFonts w:ascii="Arial" w:cs="Arial" w:eastAsia="Arial" w:hAnsi="Arial"/>
          <w:sz w:val="20"/>
          <w:szCs w:val="20"/>
        </w:rPr>
        <w:t xml:space="preserve">45% completed, 23.9% lapsed (832 projects)</w:t>
      </w:r>
    </w:p>
    <w:p>
      <w:pPr>
        <w:pStyle w:val="ListParagraph"/>
        <w:numPr>
          <w:ilvl w:val="0"/>
          <w:numId w:val="2"/>
        </w:numPr>
        <w:spacing w:after="80"/>
      </w:pPr>
      <w:r>
        <w:rPr>
          <w:rFonts w:ascii="Arial" w:cs="Arial" w:eastAsia="Arial" w:hAnsi="Arial"/>
          <w:b/>
          <w:bCs/>
          <w:sz w:val="20"/>
          <w:szCs w:val="20"/>
        </w:rPr>
        <w:t xml:space="preserve">Amravati — </w:t>
      </w:r>
      <w:r>
        <w:rPr>
          <w:rFonts w:ascii="Arial" w:cs="Arial" w:eastAsia="Arial" w:hAnsi="Arial"/>
          <w:sz w:val="20"/>
          <w:szCs w:val="20"/>
        </w:rPr>
        <w:t xml:space="preserve">43.2% completed, 35.5% lapsed (428 projects)</w:t>
      </w:r>
    </w:p>
    <w:p>
      <w:pPr>
        <w:pStyle w:val="ListParagraph"/>
        <w:numPr>
          <w:ilvl w:val="0"/>
          <w:numId w:val="2"/>
        </w:numPr>
        <w:spacing w:after="80"/>
      </w:pPr>
      <w:r>
        <w:rPr>
          <w:rFonts w:ascii="Arial" w:cs="Arial" w:eastAsia="Arial" w:hAnsi="Arial"/>
          <w:b/>
          <w:bCs/>
          <w:sz w:val="20"/>
          <w:szCs w:val="20"/>
        </w:rPr>
        <w:t xml:space="preserve">Raigad — </w:t>
      </w:r>
      <w:r>
        <w:rPr>
          <w:rFonts w:ascii="Arial" w:cs="Arial" w:eastAsia="Arial" w:hAnsi="Arial"/>
          <w:sz w:val="20"/>
          <w:szCs w:val="20"/>
        </w:rPr>
        <w:t xml:space="preserve">42% completed, 26.7% lapsed (5,658 projects)</w:t>
      </w:r>
    </w:p>
    <w:p>
      <w:pPr>
        <w:pStyle w:val="Heading1"/>
      </w:pPr>
      <w:r>
        <w:t xml:space="preserve">8. Opportunity &amp; Business-Development Recommendations</w:t>
      </w:r>
    </w:p>
    <w:p>
      <w:pPr>
        <w:pStyle w:val="ListParagraph"/>
        <w:numPr>
          <w:ilvl w:val="0"/>
          <w:numId w:val="2"/>
        </w:numPr>
        <w:spacing w:after="80"/>
      </w:pPr>
      <w:r>
        <w:rPr>
          <w:rFonts w:ascii="Arial" w:cs="Arial" w:eastAsia="Arial" w:hAnsi="Arial"/>
          <w:b/>
          <w:bCs/>
          <w:sz w:val="20"/>
          <w:szCs w:val="20"/>
        </w:rPr>
        <w:t xml:space="preserve">Anchor markets: </w:t>
      </w:r>
      <w:r>
        <w:rPr>
          <w:rFonts w:ascii="Arial" w:cs="Arial" w:eastAsia="Arial" w:hAnsi="Arial"/>
          <w:sz w:val="20"/>
          <w:szCs w:val="20"/>
        </w:rPr>
        <w:t xml:space="preserve">Pune, Thane, Mumbai Suburban, Raigad, Nashik carry the bulk of supply — prioritise these for volume campaigns and flagship developer relationships.</w:t>
      </w:r>
    </w:p>
    <w:p>
      <w:pPr>
        <w:pStyle w:val="ListParagraph"/>
        <w:numPr>
          <w:ilvl w:val="0"/>
          <w:numId w:val="2"/>
        </w:numPr>
        <w:spacing w:after="80"/>
      </w:pPr>
      <w:r>
        <w:rPr>
          <w:rFonts w:ascii="Arial" w:cs="Arial" w:eastAsia="Arial" w:hAnsi="Arial"/>
          <w:b/>
          <w:bCs/>
          <w:sz w:val="20"/>
          <w:szCs w:val="20"/>
        </w:rPr>
        <w:t xml:space="preserve">Quality-growth targets: </w:t>
      </w:r>
      <w:r>
        <w:rPr>
          <w:rFonts w:ascii="Arial" w:cs="Arial" w:eastAsia="Arial" w:hAnsi="Arial"/>
          <w:sz w:val="20"/>
          <w:szCs w:val="20"/>
        </w:rPr>
        <w:t xml:space="preserve">Nashik, Kolhapur combine scale with above-average completion and below-average lapse — ideal for premium positioning and reliable-delivery messaging.</w:t>
      </w:r>
    </w:p>
    <w:p>
      <w:pPr>
        <w:pStyle w:val="ListParagraph"/>
        <w:numPr>
          <w:ilvl w:val="0"/>
          <w:numId w:val="2"/>
        </w:numPr>
        <w:spacing w:after="80"/>
      </w:pPr>
      <w:r>
        <w:rPr>
          <w:rFonts w:ascii="Arial" w:cs="Arial" w:eastAsia="Arial" w:hAnsi="Arial"/>
          <w:b/>
          <w:bCs/>
          <w:sz w:val="20"/>
          <w:szCs w:val="20"/>
        </w:rPr>
        <w:t xml:space="preserve">Diligence flags: </w:t>
      </w:r>
      <w:r>
        <w:rPr>
          <w:rFonts w:ascii="Arial" w:cs="Arial" w:eastAsia="Arial" w:hAnsi="Arial"/>
          <w:sz w:val="20"/>
          <w:szCs w:val="20"/>
        </w:rPr>
        <w:t xml:space="preserve">Exercise caution in Solapur, Amravati, Satara where lapse rates run high; turn delivery certainty into a pitch differentiator.</w:t>
      </w:r>
    </w:p>
    <w:p>
      <w:pPr>
        <w:pStyle w:val="ListParagraph"/>
        <w:numPr>
          <w:ilvl w:val="0"/>
          <w:numId w:val="2"/>
        </w:numPr>
        <w:spacing w:after="80"/>
      </w:pPr>
      <w:r>
        <w:rPr>
          <w:rFonts w:ascii="Arial" w:cs="Arial" w:eastAsia="Arial" w:hAnsi="Arial"/>
          <w:b/>
          <w:bCs/>
          <w:sz w:val="20"/>
          <w:szCs w:val="20"/>
        </w:rPr>
        <w:t xml:space="preserve">Demand signal: </w:t>
      </w:r>
      <w:r>
        <w:rPr>
          <w:rFonts w:ascii="Arial" w:cs="Arial" w:eastAsia="Arial" w:hAnsi="Arial"/>
          <w:sz w:val="20"/>
          <w:szCs w:val="20"/>
        </w:rPr>
        <w:t xml:space="preserve">New-launch momentum is broadly flat after a 2022 peak — lead with inventory absorption and completion-led demand narratives rather than fresh-supply expansion.</w:t>
      </w:r>
    </w:p>
    <w:p>
      <w:pPr>
        <w:pStyle w:val="ListParagraph"/>
        <w:numPr>
          <w:ilvl w:val="0"/>
          <w:numId w:val="2"/>
        </w:numPr>
        <w:spacing w:after="80"/>
      </w:pPr>
      <w:r>
        <w:rPr>
          <w:rFonts w:ascii="Arial" w:cs="Arial" w:eastAsia="Arial" w:hAnsi="Arial"/>
          <w:b/>
          <w:bCs/>
          <w:sz w:val="20"/>
          <w:szCs w:val="20"/>
        </w:rPr>
        <w:t xml:space="preserve">Product mix: </w:t>
      </w:r>
      <w:r>
        <w:rPr>
          <w:rFonts w:ascii="Arial" w:cs="Arial" w:eastAsia="Arial" w:hAnsi="Arial"/>
          <w:sz w:val="20"/>
          <w:szCs w:val="20"/>
        </w:rPr>
        <w:t xml:space="preserve">With residential at 63% of registrations, residential remains the core campaign focus; commercial, plotted and mixed-use together form a ~37% niche worth dedicated, differentiated outreach.</w:t>
      </w:r>
    </w:p>
    <w:p>
      <w:pPr>
        <w:pStyle w:val="ListParagraph"/>
        <w:numPr>
          <w:ilvl w:val="0"/>
          <w:numId w:val="2"/>
        </w:numPr>
        <w:spacing w:after="80"/>
      </w:pPr>
      <w:r>
        <w:rPr>
          <w:rFonts w:ascii="Arial" w:cs="Arial" w:eastAsia="Arial" w:hAnsi="Arial"/>
          <w:b/>
          <w:bCs/>
          <w:sz w:val="20"/>
          <w:szCs w:val="20"/>
        </w:rPr>
        <w:t xml:space="preserve">Micro-market drill-down: </w:t>
      </w:r>
      <w:r>
        <w:rPr>
          <w:rFonts w:ascii="Arial" w:cs="Arial" w:eastAsia="Arial" w:hAnsi="Arial"/>
          <w:sz w:val="20"/>
          <w:szCs w:val="20"/>
        </w:rPr>
        <w:t xml:space="preserve">Use the companion interactive dashboard to drill from division to district, taluka and village, then export a scope-specific report tailored to each developer pitch.</w:t>
      </w:r>
    </w:p>
    <w:p>
      <w:pPr>
        <w:pStyle w:val="Heading1"/>
      </w:pPr>
      <w:r>
        <w:t xml:space="preserve">9. Methodology &amp; Notes</w:t>
      </w:r>
    </w:p>
    <w:p>
      <w:pPr>
        <w:spacing w:after="120"/>
      </w:pPr>
      <w:r>
        <w:rPr>
          <w:rFonts w:ascii="Arial" w:cs="Arial" w:eastAsia="Arial" w:hAnsi="Arial"/>
          <w:color w:val="5A6B82"/>
          <w:sz w:val="18"/>
          <w:szCs w:val="18"/>
        </w:rPr>
        <w:t xml:space="preserve">Source: MahaRERA project registry, covering 53,095 registered projects with registration years from 2017 to 2026. Figures are aggregated from registered project filings. </w:t>
      </w:r>
      <w:r>
        <w:rPr>
          <w:rFonts w:ascii="Arial" w:cs="Arial" w:eastAsia="Arial" w:hAnsi="Arial"/>
          <w:color w:val="5A6B82"/>
          <w:sz w:val="18"/>
          <w:szCs w:val="18"/>
        </w:rPr>
        <w:t xml:space="preserve">Data cleaning: a small number of records with corrupt carpet-area values and negative completion-day values were excluded from those specific metrics only; all projects are retained in counts. "Completed/Active/Lapsed" reflects the project's current RERA status. "Avg Days to Complete" is the registry's reported average days metric. Areas are in the source units. 2026 figures are year-to-date.</w:t>
      </w:r>
    </w:p>
    <w:p>
      <w:pPr>
        <w:pStyle w:val="Heading1"/>
      </w:pPr>
      <w:r>
        <w:t xml:space="preserve">10. Disclaimer &amp; Limitations</w:t>
      </w:r>
    </w:p>
    <w:p>
      <w:pPr>
        <w:spacing w:after="120"/>
      </w:pPr>
      <w:r>
        <w:rPr>
          <w:rFonts w:ascii="Arial" w:cs="Arial" w:eastAsia="Arial" w:hAnsi="Arial"/>
          <w:color w:val="8A5A3C"/>
          <w:sz w:val="18"/>
          <w:szCs w:val="18"/>
        </w:rPr>
        <w:t xml:space="preserve">This report is compiled from the MahaRERA public project registry and is provided for market due-diligence and business-development use only. It is indicative and does not constitute investment, legal, financial, or valuation advice. Registration and status data reflect filings as recorded and may lag, contain filing errors, or differ from on-ground outcomes; completion timelines shown are projections, not guarantees. Figures shift when the underlying export is refreshed. Independently verify before making any commercial, purchase, or lending decision. RERA Easy accepts no liability for actions taken on the basis of this information.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8AC"/>
        <w:sz w:val="16"/>
        <w:szCs w:val="16"/>
      </w:rPr>
      <w:t xml:space="preserve">Confidential · RERA Easy   |   Page </w:t>
    </w:r>
    <w:r>
      <w:rPr>
        <w:rFonts w:ascii="Arial" w:cs="Arial" w:eastAsia="Arial" w:hAnsi="Arial"/>
        <w:color w:val="8A98AC"/>
        <w:sz w:val="16"/>
        <w:szCs w:val="16"/>
      </w:rPr>
      <w:fldChar w:fldCharType="begin"/>
      <w:instrText xml:space="preserve">PAGE</w:instrText>
      <w:fldChar w:fldCharType="separate"/>
      <w:fldChar w:fldCharType="end"/>
    </w:r>
    <w:r>
      <w:rPr>
        <w:rFonts w:ascii="Arial" w:cs="Arial" w:eastAsia="Arial" w:hAnsi="Arial"/>
        <w:color w:val="8A98AC"/>
        <w:sz w:val="16"/>
        <w:szCs w:val="16"/>
      </w:rPr>
      <w:t xml:space="preserve"> of </w:t>
    </w:r>
    <w:r>
      <w:rPr>
        <w:rFonts w:ascii="Arial" w:cs="Arial" w:eastAsia="Arial" w:hAnsi="Arial"/>
        <w:color w:val="8A98A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C518" w:sz="4" w:space="4"/>
      </w:pBdr>
      <w:jc w:val="right"/>
    </w:pPr>
    <w:r>
      <w:rPr>
        <w:rFonts w:ascii="Arial" w:cs="Arial" w:eastAsia="Arial" w:hAnsi="Arial"/>
        <w:color w:val="8A98AC"/>
        <w:sz w:val="16"/>
        <w:szCs w:val="16"/>
      </w:rPr>
      <w:t xml:space="preserve">RERA Easy · Market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F5C518" w:sz="28" w:space="8"/>
      </w:pBdr>
      <w:spacing w:after="140" w:before="300"/>
      <w:outlineLvl w:val="0"/>
    </w:pPr>
    <w:rPr>
      <w:rFonts w:ascii="Arial" w:cs="Arial" w:eastAsia="Arial" w:hAnsi="Arial"/>
      <w:b/>
      <w:bCs/>
      <w:color w:val="171717"/>
      <w:sz w:val="26"/>
      <w:szCs w:val="26"/>
    </w:rPr>
  </w:style>
  <w:style w:type="paragraph" w:styleId="Heading2">
    <w:name w:val="Heading 2"/>
    <w:basedOn w:val="Normal"/>
    <w:next w:val="Normal"/>
    <w:qFormat/>
    <w:pPr>
      <w:spacing w:after="90" w:before="180"/>
      <w:outlineLvl w:val="1"/>
    </w:pPr>
    <w:rPr>
      <w:rFonts w:ascii="Arial" w:cs="Arial" w:eastAsia="Arial" w:hAnsi="Arial"/>
      <w:b/>
      <w:bCs/>
      <w:color w:val="3550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Maharashtra Real Estate Market Analysis</dc:title>
  <dc:creator>RERA Easy</dc:creator>
  <cp:lastModifiedBy>Un-named</cp:lastModifiedBy>
  <cp:revision>1</cp:revision>
  <dcterms:created xsi:type="dcterms:W3CDTF">2026-07-20T07:23:00.573Z</dcterms:created>
  <dcterms:modified xsi:type="dcterms:W3CDTF">2026-07-20T07:23:00.574Z</dcterms:modified>
</cp:coreProperties>
</file>

<file path=docProps/custom.xml><?xml version="1.0" encoding="utf-8"?>
<Properties xmlns="http://schemas.openxmlformats.org/officeDocument/2006/custom-properties" xmlns:vt="http://schemas.openxmlformats.org/officeDocument/2006/docPropsVTypes"/>
</file>