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1E6B" w14:textId="77777777" w:rsidR="00147463" w:rsidRDefault="00147463" w:rsidP="00147463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比较汉献帝和魏文帝，谈你对司马光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才德论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的理解；（臣光曰：才德全尽，谓之圣人；才德兼亡，谓之愚人；德胜才，谓之君子；才胜德，谓之小人</w:t>
      </w:r>
      <w:r>
        <w:rPr>
          <w:rStyle w:val="md-plain"/>
          <w:rFonts w:ascii="Helvetica" w:hAnsi="Helvetica" w:cs="Helvetica"/>
          <w:color w:val="333333"/>
        </w:rPr>
        <w:t>...)</w:t>
      </w:r>
    </w:p>
    <w:p w14:paraId="430DC497" w14:textId="77777777" w:rsidR="00147463" w:rsidRDefault="00147463" w:rsidP="00147463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结合《通鉴》事例，谈一谈你所领悟的处世哲学；（有一讲是：</w:t>
      </w:r>
      <w:proofErr w:type="gramStart"/>
      <w:r>
        <w:rPr>
          <w:rStyle w:val="md-plain"/>
          <w:rFonts w:ascii="Helvetica" w:hAnsi="Helvetica" w:cs="Helvetica"/>
          <w:color w:val="333333"/>
        </w:rPr>
        <w:t>福盈则</w:t>
      </w:r>
      <w:proofErr w:type="gramEnd"/>
      <w:r>
        <w:rPr>
          <w:rStyle w:val="md-plain"/>
          <w:rFonts w:ascii="Helvetica" w:hAnsi="Helvetica" w:cs="Helvetica"/>
          <w:color w:val="333333"/>
        </w:rPr>
        <w:t>祸至</w:t>
      </w:r>
      <w:r>
        <w:rPr>
          <w:rStyle w:val="md-plain"/>
          <w:rFonts w:ascii="Helvetica" w:hAnsi="Helvetica" w:cs="Helvetica"/>
          <w:color w:val="333333"/>
        </w:rPr>
        <w:t>---</w:t>
      </w:r>
      <w:r>
        <w:rPr>
          <w:rStyle w:val="md-plain"/>
          <w:rFonts w:ascii="Helvetica" w:hAnsi="Helvetica" w:cs="Helvetica"/>
          <w:color w:val="333333"/>
        </w:rPr>
        <w:t>一种处世哲学</w:t>
      </w:r>
    </w:p>
    <w:p w14:paraId="023BA6E8" w14:textId="77777777" w:rsidR="00147463" w:rsidRDefault="00147463" w:rsidP="00147463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结合司马光的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三家为诸侯论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和《资治通鉴》中对</w:t>
      </w:r>
      <w:proofErr w:type="gramStart"/>
      <w:r>
        <w:rPr>
          <w:rStyle w:val="md-plain"/>
          <w:rFonts w:ascii="Helvetica" w:hAnsi="Helvetica" w:cs="Helvetica"/>
          <w:color w:val="333333"/>
        </w:rPr>
        <w:t>霍光废昌邑</w:t>
      </w:r>
      <w:proofErr w:type="gramEnd"/>
      <w:r>
        <w:rPr>
          <w:rStyle w:val="md-plain"/>
          <w:rFonts w:ascii="Helvetica" w:hAnsi="Helvetica" w:cs="Helvetica"/>
          <w:color w:val="333333"/>
        </w:rPr>
        <w:t>王的描写，谈谈司马光的君权思想。</w:t>
      </w:r>
    </w:p>
    <w:p w14:paraId="457EC1C9" w14:textId="77777777" w:rsidR="00147463" w:rsidRDefault="00147463" w:rsidP="00147463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谈谈《资治通鉴》与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王安石变法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的关系</w:t>
      </w:r>
    </w:p>
    <w:p w14:paraId="2ADD1C02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从《资治通鉴》对冯道的评价，谈谈唐宋时期思想变化的轨迹。（</w:t>
      </w:r>
      <w:r>
        <w:rPr>
          <w:rStyle w:val="md-plain"/>
          <w:rFonts w:ascii="Helvetica" w:hAnsi="Helvetica" w:cs="Helvetica"/>
          <w:color w:val="333333"/>
        </w:rPr>
        <w:t>25'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7F8836FD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谈谈五代和宋朝对冯道的不同评价，反映了怎样的思想变化的轨迹。</w:t>
      </w:r>
    </w:p>
    <w:p w14:paraId="27B285F1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正统论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在宋代有哪些变化？《资治通鉴》的作者如何看待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正统问题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？（</w:t>
      </w:r>
      <w:r>
        <w:rPr>
          <w:rStyle w:val="md-plain"/>
          <w:rFonts w:ascii="Helvetica" w:hAnsi="Helvetica" w:cs="Helvetica"/>
          <w:color w:val="333333"/>
        </w:rPr>
        <w:t>35'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06C9361C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《资治通鉴》团队内部对正统论的看法有何争论（</w:t>
      </w:r>
      <w:r>
        <w:rPr>
          <w:rStyle w:val="md-plain"/>
          <w:rFonts w:ascii="Helvetica" w:hAnsi="Helvetica" w:cs="Helvetica"/>
          <w:color w:val="333333"/>
        </w:rPr>
        <w:t>35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702D958E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简谈司马光对正统论的看法（</w:t>
      </w:r>
      <w:r>
        <w:rPr>
          <w:rStyle w:val="md-plain"/>
          <w:rFonts w:ascii="Helvetica" w:hAnsi="Helvetica" w:cs="Helvetica"/>
          <w:color w:val="333333"/>
        </w:rPr>
        <w:t>20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1FCF4A12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《资治通鉴》的编纂，和作者所处的时代环境有何联系？（</w:t>
      </w:r>
      <w:r>
        <w:rPr>
          <w:rStyle w:val="md-plain"/>
          <w:rFonts w:ascii="Helvetica" w:hAnsi="Helvetica" w:cs="Helvetica"/>
          <w:color w:val="333333"/>
        </w:rPr>
        <w:t>40')</w:t>
      </w:r>
    </w:p>
    <w:p w14:paraId="6E595427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资治通鉴的宏观历史背景和具体的政治环境。</w:t>
      </w:r>
    </w:p>
    <w:p w14:paraId="73FE3E2C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《资治通鉴》编撰的时代背景（</w:t>
      </w:r>
      <w:r>
        <w:rPr>
          <w:rStyle w:val="md-plain"/>
          <w:rFonts w:ascii="Helvetica" w:hAnsi="Helvetica" w:cs="Helvetica"/>
          <w:color w:val="333333"/>
        </w:rPr>
        <w:t>40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7BA40E4C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宋初的政治文化背景对《资治通鉴》的诞生有何影响？</w:t>
      </w:r>
    </w:p>
    <w:p w14:paraId="5FC5849A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资治通鉴的开篇有什么特点，反映了作者什么思想。</w:t>
      </w:r>
    </w:p>
    <w:p w14:paraId="377CDFB0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司马光对于现实政治有什么看法，请举例说明</w:t>
      </w:r>
    </w:p>
    <w:p w14:paraId="4C9E3150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《资治通鉴》对曹丕被立为魏太子的描述有何特点？（</w:t>
      </w:r>
      <w:r>
        <w:rPr>
          <w:rStyle w:val="md-plain"/>
          <w:rFonts w:ascii="Helvetica" w:hAnsi="Helvetica" w:cs="Helvetica"/>
          <w:color w:val="333333"/>
        </w:rPr>
        <w:t>25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6BD6A3C0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司马光描述曹丕立为太子的特点；</w:t>
      </w:r>
    </w:p>
    <w:p w14:paraId="2454E6DA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《资治通鉴》的影响？</w:t>
      </w:r>
    </w:p>
    <w:p w14:paraId="6828F476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对真实性的追求和真实性的消解在《资治通鉴》中的理解</w:t>
      </w:r>
    </w:p>
    <w:p w14:paraId="063746B6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结合《资治通鉴》，谈谈历史学中的真实性（</w:t>
      </w:r>
      <w:r>
        <w:rPr>
          <w:rStyle w:val="md-plain"/>
          <w:rFonts w:ascii="Helvetica" w:hAnsi="Helvetica" w:cs="Helvetica"/>
          <w:color w:val="333333"/>
        </w:rPr>
        <w:t>45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11A0608E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浅谈《资治通鉴》与《左传》有什么联系</w:t>
      </w:r>
    </w:p>
    <w:p w14:paraId="50A4D00C" w14:textId="77777777" w:rsidR="00147463" w:rsidRDefault="00147463" w:rsidP="00147463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《资治通鉴》何以为经典</w:t>
      </w:r>
    </w:p>
    <w:p w14:paraId="5DCE397E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一、选择题（每题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分，共</w:t>
      </w:r>
      <w:r>
        <w:rPr>
          <w:rStyle w:val="md-plain"/>
          <w:rFonts w:ascii="Helvetica" w:hAnsi="Helvetica" w:cs="Helvetica"/>
          <w:color w:val="333333"/>
        </w:rPr>
        <w:t>20</w:t>
      </w:r>
      <w:r>
        <w:rPr>
          <w:rStyle w:val="md-plain"/>
          <w:rFonts w:ascii="Helvetica" w:hAnsi="Helvetica" w:cs="Helvetica"/>
          <w:color w:val="333333"/>
        </w:rPr>
        <w:t>分）</w:t>
      </w:r>
    </w:p>
    <w:p w14:paraId="4B808E8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、资治通鉴曾被称为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历代君臣事迹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，还有哪本书曾经在资治通鉴成书之前被称为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历代君臣事迹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？</w:t>
      </w:r>
    </w:p>
    <w:p w14:paraId="1DE7F51C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、太平御览</w:t>
      </w:r>
      <w:r>
        <w:rPr>
          <w:rStyle w:val="md-plain"/>
          <w:rFonts w:ascii="Helvetica" w:hAnsi="Helvetica" w:cs="Helvetica"/>
          <w:color w:val="333333"/>
        </w:rPr>
        <w:t xml:space="preserve"> B</w:t>
      </w:r>
      <w:r>
        <w:rPr>
          <w:rStyle w:val="md-plain"/>
          <w:rFonts w:ascii="Helvetica" w:hAnsi="Helvetica" w:cs="Helvetica"/>
          <w:color w:val="333333"/>
        </w:rPr>
        <w:t>、文苑英华</w:t>
      </w:r>
      <w:r>
        <w:rPr>
          <w:rStyle w:val="md-plain"/>
          <w:rFonts w:ascii="Helvetica" w:hAnsi="Helvetica" w:cs="Helvetica"/>
          <w:color w:val="333333"/>
        </w:rPr>
        <w:t xml:space="preserve"> C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gramStart"/>
      <w:r>
        <w:rPr>
          <w:rStyle w:val="md-plain"/>
          <w:rFonts w:ascii="Helvetica" w:hAnsi="Helvetica" w:cs="Helvetica"/>
          <w:color w:val="333333"/>
        </w:rPr>
        <w:t>册府元</w:t>
      </w:r>
      <w:proofErr w:type="gramEnd"/>
      <w:r>
        <w:rPr>
          <w:rStyle w:val="md-plain"/>
          <w:rFonts w:ascii="Helvetica" w:hAnsi="Helvetica" w:cs="Helvetica"/>
          <w:color w:val="333333"/>
        </w:rPr>
        <w:t>龟</w:t>
      </w:r>
      <w:r>
        <w:rPr>
          <w:rStyle w:val="md-plain"/>
          <w:rFonts w:ascii="Helvetica" w:hAnsi="Helvetica" w:cs="Helvetica"/>
          <w:color w:val="333333"/>
        </w:rPr>
        <w:t xml:space="preserve"> D</w:t>
      </w:r>
      <w:r>
        <w:rPr>
          <w:rStyle w:val="md-plain"/>
          <w:rFonts w:ascii="Helvetica" w:hAnsi="Helvetica" w:cs="Helvetica"/>
          <w:color w:val="333333"/>
        </w:rPr>
        <w:t>、新唐书</w:t>
      </w:r>
    </w:p>
    <w:p w14:paraId="66B2EB84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、关于资治通鉴的开篇，下列说话错误的是</w:t>
      </w:r>
    </w:p>
    <w:p w14:paraId="79021791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、开篇是接续《春秋》的</w:t>
      </w:r>
    </w:p>
    <w:p w14:paraId="604F161A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、开篇是接续《左传》的</w:t>
      </w:r>
    </w:p>
    <w:p w14:paraId="550FCA2C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、第一句话是记载三家分晋</w:t>
      </w:r>
    </w:p>
    <w:p w14:paraId="59CBD4F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、第一句话之后倒叙了</w:t>
      </w:r>
      <w:proofErr w:type="gramStart"/>
      <w:r>
        <w:rPr>
          <w:rStyle w:val="md-plain"/>
          <w:rFonts w:ascii="Helvetica" w:hAnsi="Helvetica" w:cs="Helvetica"/>
          <w:color w:val="333333"/>
        </w:rPr>
        <w:t>三家灭知伯</w:t>
      </w:r>
      <w:proofErr w:type="gramEnd"/>
    </w:p>
    <w:p w14:paraId="7BB5356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、关于曹丕和曹植的魏太子之争，下列理解不准确的是</w:t>
      </w:r>
    </w:p>
    <w:p w14:paraId="71CDD8E6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、司马光列举多个支持曹丕的官员的言论，表达曹丕被立为太子的合理性</w:t>
      </w:r>
    </w:p>
    <w:p w14:paraId="0106E9C4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、司马光支持曹丕被立为太子的立场</w:t>
      </w:r>
    </w:p>
    <w:p w14:paraId="0142C193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、司马光支持曹丕的本质是嫡长子继承的规则</w:t>
      </w:r>
    </w:p>
    <w:p w14:paraId="7908CECF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、司马光既支持曹丕又丑化曹丕，体现了一种矛盾性</w:t>
      </w:r>
    </w:p>
    <w:p w14:paraId="61F2DF8E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、关于正统论问题，下列说法不正确的是</w:t>
      </w:r>
    </w:p>
    <w:p w14:paraId="3D7741F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、司马光与其助手在这一问题上有分歧</w:t>
      </w:r>
    </w:p>
    <w:p w14:paraId="2329C851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、司马光认为三国时的曹魏是正统</w:t>
      </w:r>
    </w:p>
    <w:p w14:paraId="14F69861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、司马光认为任何一种正统的标准都不能完全说服人</w:t>
      </w:r>
    </w:p>
    <w:p w14:paraId="5340899E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、司马光在资治通鉴中所选择的年号只用于纪年，不用于区别正统</w:t>
      </w:r>
    </w:p>
    <w:p w14:paraId="6DEC5E11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、五行相生的顺序是</w:t>
      </w:r>
    </w:p>
    <w:p w14:paraId="1FE1B30E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、木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土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水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金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火</w:t>
      </w:r>
    </w:p>
    <w:p w14:paraId="309EE3BF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、木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土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水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火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金</w:t>
      </w:r>
    </w:p>
    <w:p w14:paraId="5A93F10C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、木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火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土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金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水</w:t>
      </w:r>
    </w:p>
    <w:p w14:paraId="78935151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、木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水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金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火</w:t>
      </w: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土</w:t>
      </w:r>
    </w:p>
    <w:p w14:paraId="46A38936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>、没有参与废昌邑王的官员是</w:t>
      </w:r>
    </w:p>
    <w:p w14:paraId="0AD3AEF8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、王式</w:t>
      </w:r>
      <w:r>
        <w:rPr>
          <w:rStyle w:val="md-plain"/>
          <w:rFonts w:ascii="Helvetica" w:hAnsi="Helvetica" w:cs="Helvetica"/>
          <w:color w:val="333333"/>
        </w:rPr>
        <w:t xml:space="preserve"> B</w:t>
      </w:r>
      <w:r>
        <w:rPr>
          <w:rStyle w:val="md-plain"/>
          <w:rFonts w:ascii="Helvetica" w:hAnsi="Helvetica" w:cs="Helvetica"/>
          <w:color w:val="333333"/>
        </w:rPr>
        <w:t>、霍光</w:t>
      </w:r>
      <w:r>
        <w:rPr>
          <w:rStyle w:val="md-plain"/>
          <w:rFonts w:ascii="Helvetica" w:hAnsi="Helvetica" w:cs="Helvetica"/>
          <w:color w:val="333333"/>
        </w:rPr>
        <w:t xml:space="preserve"> C</w:t>
      </w:r>
      <w:r>
        <w:rPr>
          <w:rStyle w:val="md-plain"/>
          <w:rFonts w:ascii="Helvetica" w:hAnsi="Helvetica" w:cs="Helvetica"/>
          <w:color w:val="333333"/>
        </w:rPr>
        <w:t>、杨敞</w:t>
      </w:r>
      <w:r>
        <w:rPr>
          <w:rStyle w:val="md-plain"/>
          <w:rFonts w:ascii="Helvetica" w:hAnsi="Helvetica" w:cs="Helvetica"/>
          <w:color w:val="333333"/>
        </w:rPr>
        <w:t xml:space="preserve"> D</w:t>
      </w:r>
      <w:r>
        <w:rPr>
          <w:rStyle w:val="md-plain"/>
          <w:rFonts w:ascii="Helvetica" w:hAnsi="Helvetica" w:cs="Helvetica"/>
          <w:color w:val="333333"/>
        </w:rPr>
        <w:t>、田延年</w:t>
      </w:r>
    </w:p>
    <w:p w14:paraId="75EC051B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、关于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伊霍故事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的理解，不准确的是</w:t>
      </w:r>
    </w:p>
    <w:p w14:paraId="7A8CD2AB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伊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指的是伊尹，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霍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指的是霍光</w:t>
      </w:r>
    </w:p>
    <w:p w14:paraId="077ADFB0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伊霍故事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被很多历代思想家、历史学家认为是规范皇权的一种手段</w:t>
      </w:r>
    </w:p>
    <w:p w14:paraId="0FE41644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伊霍故事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在汉代以后的历史上曾多次出现</w:t>
      </w:r>
    </w:p>
    <w:p w14:paraId="3C36F270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伊霍故事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典出史记</w:t>
      </w:r>
    </w:p>
    <w:p w14:paraId="22FF945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8</w:t>
      </w:r>
      <w:r>
        <w:rPr>
          <w:rStyle w:val="md-plain"/>
          <w:rFonts w:ascii="Helvetica" w:hAnsi="Helvetica" w:cs="Helvetica"/>
          <w:color w:val="333333"/>
        </w:rPr>
        <w:t>、冯道不曾出仕以下王朝中的</w:t>
      </w:r>
    </w:p>
    <w:p w14:paraId="41E9DB44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、后梁</w:t>
      </w:r>
      <w:r>
        <w:rPr>
          <w:rStyle w:val="md-plain"/>
          <w:rFonts w:ascii="Helvetica" w:hAnsi="Helvetica" w:cs="Helvetica"/>
          <w:color w:val="333333"/>
        </w:rPr>
        <w:t xml:space="preserve"> B</w:t>
      </w:r>
      <w:r>
        <w:rPr>
          <w:rStyle w:val="md-plain"/>
          <w:rFonts w:ascii="Helvetica" w:hAnsi="Helvetica" w:cs="Helvetica"/>
          <w:color w:val="333333"/>
        </w:rPr>
        <w:t>、后唐</w:t>
      </w:r>
      <w:r>
        <w:rPr>
          <w:rStyle w:val="md-plain"/>
          <w:rFonts w:ascii="Helvetica" w:hAnsi="Helvetica" w:cs="Helvetica"/>
          <w:color w:val="333333"/>
        </w:rPr>
        <w:t xml:space="preserve"> C</w:t>
      </w:r>
      <w:r>
        <w:rPr>
          <w:rStyle w:val="md-plain"/>
          <w:rFonts w:ascii="Helvetica" w:hAnsi="Helvetica" w:cs="Helvetica"/>
          <w:color w:val="333333"/>
        </w:rPr>
        <w:t>、后晋</w:t>
      </w:r>
      <w:r>
        <w:rPr>
          <w:rStyle w:val="md-plain"/>
          <w:rFonts w:ascii="Helvetica" w:hAnsi="Helvetica" w:cs="Helvetica"/>
          <w:color w:val="333333"/>
        </w:rPr>
        <w:t xml:space="preserve"> D</w:t>
      </w:r>
      <w:r>
        <w:rPr>
          <w:rStyle w:val="md-plain"/>
          <w:rFonts w:ascii="Helvetica" w:hAnsi="Helvetica" w:cs="Helvetica"/>
          <w:color w:val="333333"/>
        </w:rPr>
        <w:t>、后周</w:t>
      </w:r>
    </w:p>
    <w:p w14:paraId="438D9280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9</w:t>
      </w:r>
      <w:r>
        <w:rPr>
          <w:rStyle w:val="md-plain"/>
          <w:rFonts w:ascii="Helvetica" w:hAnsi="Helvetica" w:cs="Helvetica"/>
          <w:color w:val="333333"/>
        </w:rPr>
        <w:t>、冯道不曾作为以下哪位皇帝的宰相</w:t>
      </w:r>
    </w:p>
    <w:p w14:paraId="293A0754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、唐庄宗</w:t>
      </w:r>
      <w:r>
        <w:rPr>
          <w:rStyle w:val="md-plain"/>
          <w:rFonts w:ascii="Helvetica" w:hAnsi="Helvetica" w:cs="Helvetica"/>
          <w:color w:val="333333"/>
        </w:rPr>
        <w:t xml:space="preserve"> B</w:t>
      </w:r>
      <w:r>
        <w:rPr>
          <w:rStyle w:val="md-plain"/>
          <w:rFonts w:ascii="Helvetica" w:hAnsi="Helvetica" w:cs="Helvetica"/>
          <w:color w:val="333333"/>
        </w:rPr>
        <w:t>、唐明宗</w:t>
      </w:r>
      <w:r>
        <w:rPr>
          <w:rStyle w:val="md-plain"/>
          <w:rFonts w:ascii="Helvetica" w:hAnsi="Helvetica" w:cs="Helvetica"/>
          <w:color w:val="333333"/>
        </w:rPr>
        <w:t xml:space="preserve"> C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gramStart"/>
      <w:r>
        <w:rPr>
          <w:rStyle w:val="md-plain"/>
          <w:rFonts w:ascii="Helvetica" w:hAnsi="Helvetica" w:cs="Helvetica"/>
          <w:color w:val="333333"/>
        </w:rPr>
        <w:t>晋出帝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D</w:t>
      </w:r>
      <w:r>
        <w:rPr>
          <w:rStyle w:val="md-plain"/>
          <w:rFonts w:ascii="Helvetica" w:hAnsi="Helvetica" w:cs="Helvetica"/>
          <w:color w:val="333333"/>
        </w:rPr>
        <w:t>、周</w:t>
      </w:r>
      <w:proofErr w:type="gramStart"/>
      <w:r>
        <w:rPr>
          <w:rStyle w:val="md-plain"/>
          <w:rFonts w:ascii="Helvetica" w:hAnsi="Helvetica" w:cs="Helvetica"/>
          <w:color w:val="333333"/>
        </w:rPr>
        <w:t>世</w:t>
      </w:r>
      <w:proofErr w:type="gramEnd"/>
      <w:r>
        <w:rPr>
          <w:rStyle w:val="md-plain"/>
          <w:rFonts w:ascii="Helvetica" w:hAnsi="Helvetica" w:cs="Helvetica"/>
          <w:color w:val="333333"/>
        </w:rPr>
        <w:t>宗</w:t>
      </w:r>
    </w:p>
    <w:p w14:paraId="3237D84A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10</w:t>
      </w:r>
      <w:r>
        <w:rPr>
          <w:rStyle w:val="md-plain"/>
          <w:rFonts w:ascii="Helvetica" w:hAnsi="Helvetica" w:cs="Helvetica"/>
          <w:color w:val="333333"/>
        </w:rPr>
        <w:t>、以下哪位不是司马光编纂资治通鉴的助手</w:t>
      </w:r>
    </w:p>
    <w:p w14:paraId="2371604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</w:t>
      </w:r>
      <w:r>
        <w:rPr>
          <w:rStyle w:val="md-plain"/>
          <w:rFonts w:ascii="Helvetica" w:hAnsi="Helvetica" w:cs="Helvetica"/>
          <w:color w:val="333333"/>
        </w:rPr>
        <w:t>、刘敞</w:t>
      </w:r>
      <w:r>
        <w:rPr>
          <w:rStyle w:val="md-plain"/>
          <w:rFonts w:ascii="Helvetica" w:hAnsi="Helvetica" w:cs="Helvetica"/>
          <w:color w:val="333333"/>
        </w:rPr>
        <w:t xml:space="preserve"> B</w:t>
      </w:r>
      <w:r>
        <w:rPr>
          <w:rStyle w:val="md-plain"/>
          <w:rFonts w:ascii="Helvetica" w:hAnsi="Helvetica" w:cs="Helvetica"/>
          <w:color w:val="333333"/>
        </w:rPr>
        <w:t>、刘攽</w:t>
      </w:r>
      <w:r>
        <w:rPr>
          <w:rStyle w:val="md-plain"/>
          <w:rFonts w:ascii="Helvetica" w:hAnsi="Helvetica" w:cs="Helvetica"/>
          <w:color w:val="333333"/>
        </w:rPr>
        <w:t xml:space="preserve"> C</w:t>
      </w:r>
      <w:r>
        <w:rPr>
          <w:rStyle w:val="md-plain"/>
          <w:rFonts w:ascii="Helvetica" w:hAnsi="Helvetica" w:cs="Helvetica"/>
          <w:color w:val="333333"/>
        </w:rPr>
        <w:t>、刘恕</w:t>
      </w:r>
      <w:r>
        <w:rPr>
          <w:rStyle w:val="md-plain"/>
          <w:rFonts w:ascii="Helvetica" w:hAnsi="Helvetica" w:cs="Helvetica"/>
          <w:color w:val="333333"/>
        </w:rPr>
        <w:t xml:space="preserve"> D</w:t>
      </w:r>
      <w:r>
        <w:rPr>
          <w:rStyle w:val="md-plain"/>
          <w:rFonts w:ascii="Helvetica" w:hAnsi="Helvetica" w:cs="Helvetica"/>
          <w:color w:val="333333"/>
        </w:rPr>
        <w:t>、范祖禹</w:t>
      </w:r>
    </w:p>
    <w:p w14:paraId="4F86817E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二、是非题（每题</w:t>
      </w:r>
      <w:r>
        <w:rPr>
          <w:rStyle w:val="md-plain"/>
          <w:rFonts w:ascii="Helvetica" w:hAnsi="Helvetica" w:cs="Helvetica"/>
          <w:color w:val="333333"/>
        </w:rPr>
        <w:t>1.5</w:t>
      </w:r>
      <w:r>
        <w:rPr>
          <w:rStyle w:val="md-plain"/>
          <w:rFonts w:ascii="Helvetica" w:hAnsi="Helvetica" w:cs="Helvetica"/>
          <w:color w:val="333333"/>
        </w:rPr>
        <w:t>分，共</w:t>
      </w: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分）</w:t>
      </w:r>
    </w:p>
    <w:p w14:paraId="76229D7B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11</w:t>
      </w:r>
      <w:r>
        <w:rPr>
          <w:rStyle w:val="md-plain"/>
          <w:rFonts w:ascii="Helvetica" w:hAnsi="Helvetica" w:cs="Helvetica"/>
          <w:color w:val="333333"/>
        </w:rPr>
        <w:t>、武人政治向文人政治转型是资治通鉴成书的重要背景之一</w:t>
      </w:r>
    </w:p>
    <w:p w14:paraId="2900684D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12</w:t>
      </w:r>
      <w:r>
        <w:rPr>
          <w:rStyle w:val="md-plain"/>
          <w:rFonts w:ascii="Helvetica" w:hAnsi="Helvetica" w:cs="Helvetica"/>
          <w:color w:val="333333"/>
        </w:rPr>
        <w:t>、经</w:t>
      </w:r>
      <w:proofErr w:type="gramStart"/>
      <w:r>
        <w:rPr>
          <w:rStyle w:val="md-plain"/>
          <w:rFonts w:ascii="Helvetica" w:hAnsi="Helvetica" w:cs="Helvetica"/>
          <w:color w:val="333333"/>
        </w:rPr>
        <w:t>筵</w:t>
      </w:r>
      <w:proofErr w:type="gramEnd"/>
      <w:r>
        <w:rPr>
          <w:rStyle w:val="md-plain"/>
          <w:rFonts w:ascii="Helvetica" w:hAnsi="Helvetica" w:cs="Helvetica"/>
          <w:color w:val="333333"/>
        </w:rPr>
        <w:t>制度、科举制度都是宋代为配套文治导向而开创的制度</w:t>
      </w:r>
    </w:p>
    <w:p w14:paraId="0FAE2C1D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13</w:t>
      </w:r>
      <w:r>
        <w:rPr>
          <w:rStyle w:val="md-plain"/>
          <w:rFonts w:ascii="Helvetica" w:hAnsi="Helvetica" w:cs="Helvetica"/>
          <w:color w:val="333333"/>
        </w:rPr>
        <w:t>、资治通鉴是司马光用来反对王安石变法的工具</w:t>
      </w:r>
    </w:p>
    <w:p w14:paraId="27DF1BB8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14</w:t>
      </w:r>
      <w:r>
        <w:rPr>
          <w:rStyle w:val="md-plain"/>
          <w:rFonts w:ascii="Helvetica" w:hAnsi="Helvetica" w:cs="Helvetica"/>
          <w:color w:val="333333"/>
        </w:rPr>
        <w:t>、司马光认为才是比德更重要的素质</w:t>
      </w:r>
    </w:p>
    <w:p w14:paraId="35372AC0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、资治通鉴中没有三家分晋之前的记载</w:t>
      </w:r>
    </w:p>
    <w:p w14:paraId="206FD77A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16</w:t>
      </w:r>
      <w:r>
        <w:rPr>
          <w:rStyle w:val="md-plain"/>
          <w:rFonts w:ascii="Helvetica" w:hAnsi="Helvetica" w:cs="Helvetica"/>
          <w:color w:val="333333"/>
        </w:rPr>
        <w:t>、孙甫在《唐史论断》中提出的正统观念没有被资治通鉴编纂团队的成员接受</w:t>
      </w:r>
    </w:p>
    <w:p w14:paraId="7DAA20FC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17</w:t>
      </w:r>
      <w:r>
        <w:rPr>
          <w:rStyle w:val="md-plain"/>
          <w:rFonts w:ascii="Helvetica" w:hAnsi="Helvetica" w:cs="Helvetica"/>
          <w:color w:val="333333"/>
        </w:rPr>
        <w:t>、司马光认为很多正统标准都难以自圆其说</w:t>
      </w:r>
    </w:p>
    <w:p w14:paraId="02C05032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18</w:t>
      </w:r>
      <w:r>
        <w:rPr>
          <w:rStyle w:val="md-plain"/>
          <w:rFonts w:ascii="Helvetica" w:hAnsi="Helvetica" w:cs="Helvetica"/>
          <w:color w:val="333333"/>
        </w:rPr>
        <w:t>、昌邑王刘贺是汉武帝之孙、汉昭帝之子</w:t>
      </w:r>
    </w:p>
    <w:p w14:paraId="26D15054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19</w:t>
      </w:r>
      <w:r>
        <w:rPr>
          <w:rStyle w:val="md-plain"/>
          <w:rFonts w:ascii="Helvetica" w:hAnsi="Helvetica" w:cs="Helvetica"/>
          <w:color w:val="333333"/>
        </w:rPr>
        <w:t>、司马光认为王朝的内部稳定高于开疆拓土</w:t>
      </w:r>
    </w:p>
    <w:p w14:paraId="470368E8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</w:t>
      </w:r>
      <w:r>
        <w:rPr>
          <w:rStyle w:val="md-plain"/>
          <w:rFonts w:ascii="Helvetica" w:hAnsi="Helvetica" w:cs="Helvetica"/>
          <w:color w:val="333333"/>
        </w:rPr>
        <w:t>、北宋中期，再也没有士大夫认为冯道对于五代政治有所贡献</w:t>
      </w:r>
    </w:p>
    <w:p w14:paraId="68DC5436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三、问答题（共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题，</w:t>
      </w:r>
      <w:r>
        <w:rPr>
          <w:rStyle w:val="md-plain"/>
          <w:rFonts w:ascii="Helvetica" w:hAnsi="Helvetica" w:cs="Helvetica"/>
          <w:color w:val="333333"/>
        </w:rPr>
        <w:t>65</w:t>
      </w:r>
      <w:r>
        <w:rPr>
          <w:rStyle w:val="md-plain"/>
          <w:rFonts w:ascii="Helvetica" w:hAnsi="Helvetica" w:cs="Helvetica"/>
          <w:color w:val="333333"/>
        </w:rPr>
        <w:t>分）</w:t>
      </w:r>
    </w:p>
    <w:p w14:paraId="679783D7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21</w:t>
      </w:r>
      <w:r>
        <w:rPr>
          <w:rStyle w:val="md-plain"/>
          <w:rFonts w:ascii="Helvetica" w:hAnsi="Helvetica" w:cs="Helvetica"/>
          <w:color w:val="333333"/>
        </w:rPr>
        <w:t>、《资治通鉴》的成书背景？（</w:t>
      </w:r>
      <w:r>
        <w:rPr>
          <w:rStyle w:val="md-plain"/>
          <w:rFonts w:ascii="Helvetica" w:hAnsi="Helvetica" w:cs="Helvetica"/>
          <w:color w:val="333333"/>
        </w:rPr>
        <w:t>30</w:t>
      </w:r>
      <w:r>
        <w:rPr>
          <w:rStyle w:val="md-plain"/>
          <w:rFonts w:ascii="Helvetica" w:hAnsi="Helvetica" w:cs="Helvetica"/>
          <w:color w:val="333333"/>
        </w:rPr>
        <w:t>分）</w:t>
      </w:r>
    </w:p>
    <w:p w14:paraId="3AA9C259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22</w:t>
      </w:r>
      <w:r>
        <w:rPr>
          <w:rStyle w:val="md-plain"/>
          <w:rFonts w:ascii="Helvetica" w:hAnsi="Helvetica" w:cs="Helvetica"/>
          <w:color w:val="333333"/>
        </w:rPr>
        <w:t>、结合课程内容，说明司马光对于政治秩序问题的看法（</w:t>
      </w:r>
      <w:r>
        <w:rPr>
          <w:rStyle w:val="md-plain"/>
          <w:rFonts w:ascii="Helvetica" w:hAnsi="Helvetica" w:cs="Helvetica"/>
          <w:color w:val="333333"/>
        </w:rPr>
        <w:t>35</w:t>
      </w:r>
      <w:r>
        <w:rPr>
          <w:rStyle w:val="md-plain"/>
          <w:rFonts w:ascii="Helvetica" w:hAnsi="Helvetica" w:cs="Helvetica"/>
          <w:color w:val="333333"/>
        </w:rPr>
        <w:t>分）</w:t>
      </w:r>
    </w:p>
    <w:p w14:paraId="1D9191BF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简述题：资治通鉴的影响。</w:t>
      </w:r>
    </w:p>
    <w:p w14:paraId="749115D0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论述题：</w:t>
      </w:r>
    </w:p>
    <w:p w14:paraId="7CFECD10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1.</w:t>
      </w:r>
      <w:r>
        <w:rPr>
          <w:rStyle w:val="md-plain"/>
          <w:rFonts w:ascii="Helvetica" w:hAnsi="Helvetica" w:cs="Helvetica"/>
          <w:color w:val="333333"/>
        </w:rPr>
        <w:t>资治通鉴编修背景。</w:t>
      </w:r>
    </w:p>
    <w:p w14:paraId="560DCC6E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2.</w:t>
      </w:r>
      <w:r>
        <w:rPr>
          <w:rStyle w:val="md-plain"/>
          <w:rFonts w:ascii="Helvetica" w:hAnsi="Helvetica" w:cs="Helvetica"/>
          <w:color w:val="333333"/>
        </w:rPr>
        <w:t>司马光的基本政治观点。</w:t>
      </w:r>
    </w:p>
    <w:p w14:paraId="6A688E45" w14:textId="77777777" w:rsidR="00147463" w:rsidRDefault="00147463" w:rsidP="0014746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3.</w:t>
      </w:r>
      <w:r>
        <w:rPr>
          <w:rStyle w:val="md-plain"/>
          <w:rFonts w:ascii="Helvetica" w:hAnsi="Helvetica" w:cs="Helvetica"/>
          <w:color w:val="333333"/>
        </w:rPr>
        <w:t>解释资治通鉴中真实性的消解之类的（具体表述忘了）。</w:t>
      </w:r>
    </w:p>
    <w:p w14:paraId="0F90210D" w14:textId="77777777" w:rsidR="00906FD0" w:rsidRPr="00147463" w:rsidRDefault="00906FD0"/>
    <w:sectPr w:rsidR="00906FD0" w:rsidRPr="0014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03B"/>
    <w:multiLevelType w:val="multilevel"/>
    <w:tmpl w:val="3D905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77E86"/>
    <w:multiLevelType w:val="multilevel"/>
    <w:tmpl w:val="5534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D422A"/>
    <w:multiLevelType w:val="multilevel"/>
    <w:tmpl w:val="08D2B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C0C5D"/>
    <w:multiLevelType w:val="multilevel"/>
    <w:tmpl w:val="FD80B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644F2"/>
    <w:multiLevelType w:val="multilevel"/>
    <w:tmpl w:val="631496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63"/>
    <w:rsid w:val="00147463"/>
    <w:rsid w:val="009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8A05"/>
  <w15:chartTrackingRefBased/>
  <w15:docId w15:val="{F78989AC-B686-40D1-88BE-63715BE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47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4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Yesir Sherlock</dc:creator>
  <cp:keywords/>
  <dc:description/>
  <cp:lastModifiedBy>Yesir Sherlock</cp:lastModifiedBy>
  <cp:revision>1</cp:revision>
  <dcterms:created xsi:type="dcterms:W3CDTF">2021-11-09T01:04:00Z</dcterms:created>
  <dcterms:modified xsi:type="dcterms:W3CDTF">2021-11-09T01:11:00Z</dcterms:modified>
</cp:coreProperties>
</file>