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320"/>
        <w:jc w:val="center"/>
      </w:pPr>
      <w:r>
        <w:rPr>
          <w:b/>
          <w:sz w:val="36"/>
        </w:rPr>
        <w:t>网站栏目设置说明</w:t>
      </w:r>
    </w:p>
    <w:p>
      <w:pPr>
        <w:ind w:firstLine="480"/>
      </w:pPr>
      <w:r>
        <w:t>深圳兴康明诊所网站名称为“兴康明”，网址为 https://www.xingkangming.com/。网站主体备案号为粤ICP备2026161366号，网站备案号为粤ICP备2026161366号-1。各栏目具体情况如下：</w:t>
      </w:r>
    </w:p>
    <w:p>
      <w:pPr>
        <w:keepNext/>
      </w:pPr>
      <w:r>
        <w:rPr>
          <w:b/>
        </w:rPr>
        <w:t>首页</w:t>
      </w:r>
    </w:p>
    <w:p>
      <w:pPr>
        <w:ind w:firstLine="480"/>
      </w:pPr>
      <w:r>
        <w:t>用户进入网站首页，可查看睡眠健康服务介绍、医生与门店信息；通过顶部导航进入睡眠评估、治疗追踪、社区、健康商城，并通过“预约就诊”进入门店与医生页面。</w:t>
      </w:r>
    </w:p>
    <w:p>
      <w:pPr>
        <w:keepNext/>
      </w:pPr>
      <w:r>
        <w:rPr>
          <w:b/>
        </w:rPr>
        <w:t>门店与医生及预约就诊</w:t>
      </w:r>
    </w:p>
    <w:p>
      <w:pPr>
        <w:ind w:firstLine="480"/>
      </w:pPr>
      <w:r>
        <w:t>查看门店地址、医生介绍及可预约时段；登录后选择门店、医生、就诊人和时间，提交预约。已提交的预约可在个人中心“我的预约”中查看。</w:t>
      </w:r>
    </w:p>
    <w:p>
      <w:pPr>
        <w:keepNext/>
      </w:pPr>
      <w:r>
        <w:rPr>
          <w:b/>
        </w:rPr>
        <w:t>睡眠评估</w:t>
      </w:r>
    </w:p>
    <w:p>
      <w:pPr>
        <w:ind w:firstLine="480"/>
      </w:pPr>
      <w:r>
        <w:t>提供ESS嗜睡量表和AI鼾声分析入口，登录后可完成问卷或录音分析，并在评估记录中查看评分、分析结果及建议。评估结果仅供健康参考，不替代医生诊断。</w:t>
      </w:r>
    </w:p>
    <w:p>
      <w:pPr>
        <w:keepNext/>
      </w:pPr>
      <w:r>
        <w:rPr>
          <w:b/>
        </w:rPr>
        <w:t>治疗追踪</w:t>
      </w:r>
    </w:p>
    <w:p>
      <w:pPr>
        <w:ind w:firstLine="480"/>
      </w:pPr>
      <w:r>
        <w:t>登录后选择就诊人，可查看治疗情况、佩戴打卡、睡眠趋势与报告、治疗时间线、医嘱建议及设备信息。栏目按账号及就诊人权限展示，无记录时显示相应提示。</w:t>
      </w:r>
    </w:p>
    <w:p>
      <w:pPr>
        <w:keepNext/>
      </w:pPr>
      <w:r>
        <w:rPr>
          <w:b/>
        </w:rPr>
        <w:t>社区</w:t>
      </w:r>
    </w:p>
    <w:p>
      <w:pPr>
        <w:ind w:firstLine="480"/>
      </w:pPr>
      <w:r>
        <w:t>提供就医指南、鼾症知识和器具科普等内容。用户可按分类或搜索浏览，点击内容卡片查看全文；登录后可使用发布、评论、点赞及收藏等功能。</w:t>
      </w:r>
    </w:p>
    <w:p>
      <w:pPr>
        <w:keepNext/>
        <w:pageBreakBefore/>
      </w:pPr>
      <w:r>
        <w:rPr>
          <w:b/>
        </w:rPr>
        <w:t>健康商城</w:t>
      </w:r>
    </w:p>
    <w:p>
      <w:pPr>
        <w:ind w:firstLine="480"/>
      </w:pPr>
      <w:r>
        <w:t>展示商品分类、图片、名称、价格和详情。用户点击商品进入详情页，查看商品说明；点击“立即购买”打开确认订单弹窗，核对数量、配送方式及联系信息。订单创建后，可在“我的订单”查看状态和金额。</w:t>
      </w:r>
    </w:p>
    <w:p>
      <w:pPr>
        <w:keepNext/>
      </w:pPr>
      <w:r>
        <w:rPr>
          <w:b/>
        </w:rPr>
        <w:t>个人中心</w:t>
      </w:r>
    </w:p>
    <w:p>
      <w:pPr>
        <w:ind w:firstLine="480"/>
      </w:pPr>
      <w:r>
        <w:t>登录后可进入个人资料、就诊人管理、我的预约、病历档案、评估记录、阻鼾器管理、我的订单、会员权益、消息通知、在线客服和账号安全等功能。个人健康和订单信息仅向有权限的账号展示。</w:t>
      </w:r>
    </w:p>
    <w:p>
      <w:pPr>
        <w:keepNext/>
      </w:pPr>
      <w:r>
        <w:rPr>
          <w:b/>
        </w:rPr>
        <w:t>用户协议与隐私政策</w:t>
      </w:r>
    </w:p>
    <w:p>
      <w:pPr>
        <w:ind w:firstLine="480"/>
      </w:pPr>
      <w:r>
        <w:t>通过网站页脚对应入口，可查看服务约定、个人信息处理范围、用户权利及联系方式等内容。</w:t>
      </w:r>
    </w:p>
    <w:p>
      <w:pPr>
        <w:keepNext/>
      </w:pPr>
      <w:r>
        <w:rPr>
          <w:b/>
        </w:rPr>
        <w:t>收费模式</w:t>
      </w:r>
    </w:p>
    <w:p>
      <w:pPr>
        <w:ind w:firstLine="480"/>
      </w:pPr>
      <w:r>
        <w:t>1. 信息浏览：网站首页、社区科普、商品基础信息及详情、用户协议和隐私政策的浏览不收取信息服务费；当前不设置付费解锁药品或医疗器械信息的栏目。</w:t>
      </w:r>
    </w:p>
    <w:p>
      <w:pPr>
        <w:ind w:firstLine="480"/>
      </w:pPr>
      <w:r>
        <w:t>2. 健康评估和记录查询：目前ESS量表、AI鼾声分析及个人健康记录查询不单独收取信息服务费。</w:t>
      </w:r>
    </w:p>
    <w:p>
      <w:pPr>
        <w:ind w:firstLine="480"/>
      </w:pPr>
      <w:r>
        <w:t>3. 商品与诊疗服务：商品购买按订单列示金额收费；线下诊疗如涉及挂号费、诊疗费等，以预约页面及门店收费公示为准。PC端待支付订单联系门店完成付款。上述费用与网站信息浏览费区分。</w:t>
      </w:r>
    </w:p>
    <w:p>
      <w:pPr>
        <w:keepNext/>
        <w:spacing w:before="360"/>
        <w:jc w:val="right"/>
      </w:pPr>
      <w:r>
        <w:rPr>
          <w:color w:val="C00000"/>
        </w:rPr>
        <w:t>申请单位：深圳兴康明诊所（盖章）</w:t>
      </w:r>
    </w:p>
    <w:p>
      <w:pPr>
        <w:keepNext/>
        <w:jc w:val="right"/>
      </w:pPr>
      <w:r>
        <w:rPr>
          <w:color w:val="C00000"/>
        </w:rPr>
        <w:t>法定代表人或负责人签字：________________</w:t>
      </w:r>
    </w:p>
    <w:p>
      <w:pPr>
        <w:jc w:val="right"/>
      </w:pPr>
      <w:r>
        <w:rPr>
          <w:color w:val="C00000"/>
        </w:rPr>
        <w:t>日期：________年____月____日</w:t>
      </w:r>
    </w:p>
    <w:sectPr>
      <w:headerReference w:type="default" r:id="rId14"/>
      <w:footerReference w:type="default" r:id="rId15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60" w:lineRule="exact" w:after="100"/>
      <w:jc w:val="left"/>
    </w:pPr>
    <w:rPr>
      <w:rFonts w:ascii="Noto Serif CJK SC" w:hAnsi="Noto Serif CJK SC" w:eastAsia="Noto Serif CJK SC" w:cs="Times New Roman"/>
      <w:color w:val="000000"/>
      <w:kern w:val="2"/>
      <w:sz w:val="24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erif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Title">
    <w:name w:val="Title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1">
    <w:name w:val="heading 1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  <w:style w:type="paragraph" w:customStyle="1" w:styleId="Heading2">
    <w:name w:val="heading 2"/>
    <w:pPr>
      <w:spacing w:line="360" w:lineRule="exact" w:after="100"/>
      <w:jc w:val="left"/>
    </w:pPr>
    <w:rPr>
      <w:rFonts w:ascii="Noto Serif CJK SC" w:hAnsi="Noto Serif CJK SC" w:eastAsia="Noto Serif CJK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41760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深圳兴康明诊所</dc:creator>
  <dc:description/>
  <dc:language>zh-CN</dc:language>
  <cp:lastModifiedBy>深圳兴康明诊所</cp:lastModifiedBy>
  <dcterms:modified xsi:type="dcterms:W3CDTF">2022-01-12T14:29:05Z</dcterms:modified>
  <cp:revision>0</cp:revision>
  <dc:subject/>
  <dc:title>_x0001__x0001__x0001__x0001__x0001__x0001__x0001__x0001__x0001_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