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Lines/>
        <w:spacing w:after="320"/>
        <w:jc w:val="center"/>
      </w:pPr>
      <w:r>
        <w:rPr>
          <w:b/>
          <w:sz w:val="36"/>
        </w:rPr>
        <w:t>网站对历史发布信息进行备份和查阅的</w:t>
        <w:br/>
        <w:t>管理制度及执行情况说明</w:t>
      </w:r>
    </w:p>
    <w:p>
      <w:pPr>
        <w:keepLines/>
        <w:ind w:firstLine="480"/>
      </w:pPr>
      <w:r>
        <w:t>为保障“兴康明”网站历史发布信息的完整、安全和可查阅性，深圳兴康明诊所制定本制度，由网站负责人组织实施。</w:t>
      </w:r>
    </w:p>
    <w:p>
      <w:pPr>
        <w:keepNext/>
        <w:keepLines/>
      </w:pPr>
      <w:r>
        <w:rPr>
          <w:b/>
        </w:rPr>
        <w:t>一 数据备份管理制度</w:t>
      </w:r>
    </w:p>
    <w:p>
      <w:pPr>
        <w:keepNext/>
        <w:keepLines/>
      </w:pPr>
      <w:r>
        <w:rPr>
          <w:b/>
        </w:rPr>
        <w:t>（一）管理范围与职责</w:t>
      </w:r>
    </w:p>
    <w:p>
      <w:pPr>
        <w:keepLines/>
        <w:ind w:firstLine="480"/>
      </w:pPr>
      <w:r>
        <w:t>备份范围包括网站发布的健康科普、商品介绍、医生及门店信息、协议和隐私政策，以及相关图片、附件、数据库和操作记录。网站负责人林英伟负责组织、审批和检查；技术维护人员负责备份、恢复及权限管理；内容维护人员负责发布信息及历史版本的整理归档。</w:t>
      </w:r>
    </w:p>
    <w:p>
      <w:pPr>
        <w:keepNext/>
        <w:keepLines/>
      </w:pPr>
      <w:r>
        <w:rPr>
          <w:b/>
        </w:rPr>
        <w:t>（二）备份要求</w:t>
      </w:r>
    </w:p>
    <w:p>
      <w:pPr>
        <w:keepLines/>
        <w:ind w:firstLine="480"/>
      </w:pPr>
      <w:r>
        <w:t>网站发布信息更新、修改或删除前，应保存原内容、附件及相关发布时间、修改时间和操作人员记录。历史版本按栏目、标题及日期分类归档，确保能够查阅原有内容。备份信息应完整、真实、准确，不以网页访问链接代替原文件。</w:t>
      </w:r>
    </w:p>
    <w:p>
      <w:pPr>
        <w:keepLines/>
        <w:ind w:firstLine="480"/>
      </w:pPr>
      <w:r>
        <w:t>网站数据库及发布内容每日备份一次；网站程序、配置及附件在修改后及时备份，重大更新前增加备份。备份记录应注明时间、范围、执行人员和结果，发现失败或异常及时处理。历史发布信息备份保存不少于180天；依法需要更长保存的，按相应要求执行。</w:t>
      </w:r>
    </w:p>
    <w:p>
      <w:pPr>
        <w:keepNext/>
        <w:keepLines/>
      </w:pPr>
      <w:r>
        <w:rPr>
          <w:b/>
        </w:rPr>
        <w:t>（三）介质保管与数据恢复</w:t>
      </w:r>
    </w:p>
    <w:p>
      <w:pPr>
        <w:keepLines/>
        <w:ind w:firstLine="480"/>
      </w:pPr>
      <w:r>
        <w:t>备份应与生产数据分离保存，并保留异地副本，由专人管理存储权限，采取加密等保护措施，防止丢失、损坏、泄露和未经授权修改。</w:t>
      </w:r>
    </w:p>
    <w:p>
      <w:pPr>
        <w:keepLines/>
        <w:ind w:firstLine="480"/>
      </w:pPr>
      <w:r>
        <w:t>定期核对备份完整性并开展恢复验证。恢复验证应在独立测试环境进行，不覆盖生产数据；发生系统故障或数据损坏时，按批准的方案恢复，核对结果并记录异常处理情况。</w:t>
      </w:r>
    </w:p>
    <w:p>
      <w:pPr>
        <w:keepNext/>
        <w:keepLines/>
        <w:pageBreakBefore/>
      </w:pPr>
      <w:r>
        <w:rPr>
          <w:b/>
        </w:rPr>
        <w:t>二 历史发布信息查阅管理制度</w:t>
      </w:r>
    </w:p>
    <w:p>
      <w:pPr>
        <w:keepLines/>
        <w:ind w:firstLine="480"/>
      </w:pPr>
      <w:r>
        <w:t>历史信息查阅实行申请、审批、授权查询和登记归档。申请人说明查阅目的、内容及时间范围，经网站负责人批准后，由技术或内容维护人员检索并提供。查阅记录应注明申请人、审批人、查阅范围、时间及提供方式。</w:t>
      </w:r>
    </w:p>
    <w:p>
      <w:pPr>
        <w:keepLines/>
        <w:ind w:firstLine="480"/>
      </w:pPr>
      <w:r>
        <w:t>监管部门依法查阅历史发布信息时，本单位安排专人协助，按要求提供相关内容和必要的版本记录。涉及个人健康、病历、录音、联系信息等内容，应限制访问范围，并对无关个人信息进行遮盖或脱敏。</w:t>
      </w:r>
    </w:p>
    <w:p>
      <w:pPr>
        <w:keepLines/>
        <w:ind w:firstLine="480"/>
      </w:pPr>
      <w:r>
        <w:t>未经批准，不得擅自复制、外借、转移或公开备份资料。查阅完成后及时归档；需销毁过期备份的，应履行审批手续，并保留销毁记录。发现非法访问、数据泄露或损坏时，立即报告负责人，保留相关记录并采取处置措施。</w:t>
      </w:r>
    </w:p>
    <w:p>
      <w:pPr>
        <w:keepNext/>
        <w:keepLines/>
        <w:ind w:firstLine="0"/>
      </w:pPr>
      <w:r>
        <w:rPr>
          <w:b/>
        </w:rPr>
        <w:t>三 执行情况</w:t>
      </w:r>
    </w:p>
    <w:p>
      <w:pPr>
        <w:keepLines/>
        <w:ind w:firstLine="480"/>
      </w:pPr>
      <w:r>
        <w:rPr>
          <w:b w:val="0"/>
        </w:rPr>
        <w:t>本单位由网站负责人林英伟统筹网站历史发布信息的备份、查阅和保密管理，按以下责任分工和制度组织实施。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1814"/>
        <w:gridCol w:w="4910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项目名称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主要负责执行人员</w:t>
            </w:r>
          </w:p>
        </w:tc>
        <w:tc>
          <w:tcPr>
            <w:tcW w:type="dxa" w:w="49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具体执行情况及制度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网站信息备份方式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网站负责人统筹</w:t>
              <w:br/>
              <w:t>技术维护人员执行</w:t>
            </w:r>
          </w:p>
        </w:tc>
        <w:tc>
          <w:tcPr>
            <w:tcW w:type="dxa" w:w="49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将网站发布内容、数据库、图片及附件纳入备份；修改、下架前保存原版本，按栏目及日期归档。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备份要求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技术维护人员执行</w:t>
              <w:br/>
              <w:t>网站负责人检查</w:t>
            </w:r>
          </w:p>
        </w:tc>
        <w:tc>
          <w:tcPr>
            <w:tcW w:type="dxa" w:w="49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每日备份网站数据，每周汇总检查备份完整性；发现备份失败或文件损坏，应查明原因并及时处理。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网站数据备份介质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技术维护人员保管</w:t>
              <w:br/>
              <w:t>网站负责人监督</w:t>
            </w:r>
          </w:p>
        </w:tc>
        <w:tc>
          <w:tcPr>
            <w:tcW w:type="dxa" w:w="49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备份与生产数据分离并保留异地副本；存储介质由专人保管，限制访问权限，落实防火、防潮、防损坏和防盗措施。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网站数据的恢复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技术维护人员执行</w:t>
              <w:br/>
              <w:t>网站负责人复核</w:t>
            </w:r>
          </w:p>
        </w:tc>
        <w:tc>
          <w:tcPr>
            <w:tcW w:type="dxa" w:w="49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定期在独立测试环境开展备份恢复验证，检查数据和附件能否正常使用；记录结果及异常处理，不覆盖生产数据。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网站数据的保密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网站负责人审批</w:t>
              <w:br/>
              <w:t>相关人员按权限执行</w:t>
            </w:r>
          </w:p>
        </w:tc>
        <w:tc>
          <w:tcPr>
            <w:tcW w:type="dxa" w:w="49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20" w:lineRule="exact" w:after="0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按资料用途确定查阅、复制和移交权限；未经批准不得外借、转移或泄露资料，移交时登记范围和接收人员。</w:t>
            </w:r>
          </w:p>
        </w:tc>
      </w:tr>
    </w:tbl>
    <w:p>
      <w:pPr>
        <w:keepNext/>
        <w:keepLines/>
        <w:pageBreakBefore/>
        <w:spacing w:before="200"/>
        <w:ind w:firstLine="0"/>
      </w:pPr>
      <w:r>
        <w:rPr>
          <w:b/>
        </w:rPr>
        <w:t>具体执行计划</w:t>
      </w:r>
    </w:p>
    <w:p>
      <w:pPr>
        <w:keepLines/>
        <w:ind w:firstLine="480"/>
      </w:pPr>
      <w:r>
        <w:rPr>
          <w:b w:val="0"/>
        </w:rPr>
        <w:t>1. 组织网站维护人员学习网络安全、信息发布审核、备份和查阅管理制度，明确责任分工，按制度开展备份及检查。</w:t>
      </w:r>
    </w:p>
    <w:p>
      <w:pPr>
        <w:keepLines/>
        <w:ind w:firstLine="480"/>
      </w:pPr>
      <w:r>
        <w:rPr>
          <w:b w:val="0"/>
        </w:rPr>
        <w:t>2. 发现未经授权访问、修改或删除数据、传播恶意程序等情况时，及时记录并报告网站负责人，保留相关证据，依法向有关部门报告并配合处置。</w:t>
      </w:r>
    </w:p>
    <w:p>
      <w:pPr>
        <w:keepLines/>
        <w:ind w:firstLine="480"/>
      </w:pPr>
      <w:r>
        <w:rPr>
          <w:b w:val="0"/>
        </w:rPr>
        <w:t>3. 定期检查备份有效性、资料保管和查阅登记情况，发现问题及时整改；网站内容或维护方式发生变化时，同步调整管理安排。</w:t>
      </w:r>
    </w:p>
    <w:p>
      <w:pPr>
        <w:keepLines/>
        <w:ind w:firstLine="480"/>
      </w:pPr>
      <w:r>
        <w:rPr>
          <w:b w:val="0"/>
        </w:rPr>
        <w:t>本制度经本单位负责人批准后实施。</w:t>
      </w:r>
    </w:p>
    <w:p>
      <w:pPr>
        <w:keepNext/>
        <w:keepLines/>
        <w:spacing w:before="360"/>
        <w:jc w:val="right"/>
      </w:pPr>
      <w:r>
        <w:rPr>
          <w:color w:val="C00000"/>
        </w:rPr>
        <w:t>申请单位：深圳兴康明诊所（盖章）</w:t>
      </w:r>
    </w:p>
    <w:p>
      <w:pPr>
        <w:keepNext/>
        <w:keepLines/>
        <w:jc w:val="right"/>
      </w:pPr>
      <w:r>
        <w:rPr>
          <w:color w:val="C00000"/>
        </w:rPr>
        <w:t>法定代表人或负责人签字：________________</w:t>
      </w:r>
    </w:p>
    <w:p>
      <w:pPr>
        <w:keepLines/>
        <w:jc w:val="right"/>
      </w:pPr>
      <w:r>
        <w:rPr>
          <w:color w:val="C00000"/>
        </w:rPr>
        <w:t>日期：________年____月____日</w:t>
      </w:r>
    </w:p>
    <w:sectPr>
      <w:headerReference w:type="default" r:id="rId14"/>
      <w:footerReference w:type="default" r:id="rId15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="360" w:lineRule="exact" w:after="100"/>
      <w:jc w:val="left"/>
    </w:pPr>
    <w:rPr>
      <w:rFonts w:ascii="Noto Serif CJK SC" w:hAnsi="Noto Serif CJK SC" w:eastAsia="Noto Serif CJK SC" w:cs="Times New Roman"/>
      <w:color w:val="000000"/>
      <w:kern w:val="2"/>
      <w:sz w:val="24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erif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Title">
    <w:name w:val="Title"/>
    <w:pPr>
      <w:spacing w:line="360" w:lineRule="exact" w:after="100"/>
      <w:jc w:val="left"/>
    </w:pPr>
    <w:rPr>
      <w:rFonts w:ascii="Noto Serif CJK SC" w:hAnsi="Noto Serif CJK SC" w:eastAsia="Noto Serif CJK SC"/>
      <w:color w:val="000000"/>
      <w:sz w:val="24"/>
    </w:rPr>
  </w:style>
  <w:style w:type="paragraph" w:customStyle="1" w:styleId="Heading1">
    <w:name w:val="heading 1"/>
    <w:pPr>
      <w:spacing w:line="360" w:lineRule="exact" w:after="100"/>
      <w:jc w:val="left"/>
    </w:pPr>
    <w:rPr>
      <w:rFonts w:ascii="Noto Serif CJK SC" w:hAnsi="Noto Serif CJK SC" w:eastAsia="Noto Serif CJK SC"/>
      <w:color w:val="000000"/>
      <w:sz w:val="24"/>
    </w:rPr>
  </w:style>
  <w:style w:type="paragraph" w:customStyle="1" w:styleId="Heading2">
    <w:name w:val="heading 2"/>
    <w:pPr>
      <w:spacing w:line="360" w:lineRule="exact" w:after="100"/>
      <w:jc w:val="left"/>
    </w:pPr>
    <w:rPr>
      <w:rFonts w:ascii="Noto Serif CJK SC" w:hAnsi="Noto Serif CJK SC" w:eastAsia="Noto Serif CJK SC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41760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深圳兴康明诊所</dc:creator>
  <dc:description/>
  <dc:language>zh-CN</dc:language>
  <cp:lastModifiedBy>深圳兴康明诊所</cp:lastModifiedBy>
  <dcterms:modified xsi:type="dcterms:W3CDTF">2022-01-12T14:29:05Z</dcterms:modified>
  <cp:revision>0</cp:revision>
  <dc:subject/>
  <dc:title>_x0001__x0001__x0001__x0001__x0001__x0001__x0001__x0001__x0001_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