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320"/>
        <w:jc w:val="center"/>
      </w:pPr>
      <w:r>
        <w:rPr>
          <w:b/>
          <w:sz w:val="36"/>
        </w:rPr>
        <w:t>监管部门在线浏览网站所有栏目内容的</w:t>
        <w:br/>
        <w:t>方法及操作说明</w:t>
      </w:r>
    </w:p>
    <w:p>
      <w:pPr>
        <w:ind w:firstLine="480"/>
      </w:pPr>
      <w:r>
        <w:t>深圳兴康明诊所“兴康明”网站地址为 https://www.xingkangming.com/。监管人员可使用电脑浏览器打开网站，通过顶部导航、页面按钮及个人中心浏览各栏目。向下滚动可查看页面完整内容。</w:t>
      </w:r>
    </w:p>
    <w:p>
      <w:pPr>
        <w:keepNext/>
      </w:pPr>
      <w:r>
        <w:rPr>
          <w:b/>
        </w:rPr>
        <w:t>一 登录及浏览方式</w:t>
      </w:r>
    </w:p>
    <w:p>
      <w:pPr>
        <w:ind w:firstLine="480"/>
      </w:pPr>
      <w:r>
        <w:t>首页、门店与医生、社区、健康商城及协议页面可直接浏览。个人健康记录、预约和订单等栏目需登录，使用以下审核账号查看。</w:t>
      </w:r>
    </w:p>
    <w:p>
      <w:pPr>
        <w:ind w:firstLine="480"/>
      </w:pPr>
      <w:r>
        <w:t>审核登录账号：18320323457</w:t>
      </w:r>
    </w:p>
    <w:p>
      <w:pPr>
        <w:ind w:firstLine="480"/>
      </w:pPr>
      <w:r>
        <w:t>登录密码：另行提供</w:t>
      </w:r>
    </w:p>
    <w:p>
      <w:pPr>
        <w:ind w:firstLine="480"/>
      </w:pPr>
      <w:r>
        <w:t>点击右上角“登录”，输入账号和密码后点击“登录”。进入健康栏目时，选择该账号下的就诊人；没有记录的页面显示相应提示。</w:t>
      </w:r>
    </w:p>
    <w:p>
      <w:pPr>
        <w:keepNext/>
      </w:pPr>
      <w:r>
        <w:rPr>
          <w:b/>
        </w:rPr>
        <w:t>二 各栏目浏览路径</w:t>
      </w:r>
    </w:p>
    <w:p>
      <w:pPr>
        <w:ind w:firstLine="480"/>
      </w:pPr>
      <w:r>
        <w:t>首页及预约就诊：打开网址进入首页；点击“预约就诊”查看门店和医生，进入医生页面查看介绍及可预约时段。登录后可选择就诊人及时间。</w:t>
      </w:r>
    </w:p>
    <w:p>
      <w:pPr>
        <w:ind w:firstLine="480"/>
      </w:pPr>
      <w:r>
        <w:t>睡眠评估：点击顶部“睡眠评估”，进入ESS嗜睡量表或AI鼾声分析。已有结果从“评估记录”进入，选择记录查看报告。</w:t>
      </w:r>
    </w:p>
    <w:p>
      <w:pPr>
        <w:ind w:firstLine="480"/>
      </w:pPr>
      <w:r>
        <w:t>社区及健康商城：点击顶部相应栏目，按分类或关键词浏览；点击内容卡片或商品卡片进入详情。</w:t>
      </w:r>
    </w:p>
    <w:p>
      <w:pPr>
        <w:ind w:firstLine="480"/>
      </w:pPr>
      <w:r>
        <w:t>治疗追踪：点击顶部“治疗追踪”并选择就诊人，浏览治疗情况和打卡日历；通过页面入口查看睡眠趋势、睡眠报告、医嘱建议、治疗时间线和设备调整。</w:t>
      </w:r>
    </w:p>
    <w:p>
      <w:pPr>
        <w:ind w:firstLine="480"/>
      </w:pPr>
      <w:r>
        <w:t>个人中心：登录后点击右上角“个人中心”，进入个人资料、就诊人管理、预约、病历、评估、阻鼾器、订单、会员权益、消息、客服和账号安全等功能。</w:t>
      </w:r>
    </w:p>
    <w:p>
      <w:pPr>
        <w:ind w:firstLine="480"/>
      </w:pPr>
      <w:r>
        <w:t>协议与隐私：点击网站页脚“用户协议”或“隐私政策”，滚动查看全文。浏览核验无需提交预约、创建订单或付款。</w:t>
      </w:r>
    </w:p>
    <w:p>
      <w:pPr>
        <w:keepNext/>
      </w:pPr>
      <w:r>
        <w:rPr>
          <w:b/>
        </w:rPr>
        <w:t>三 栏目操作图示</w:t>
      </w:r>
    </w:p>
    <w:p>
      <w:pPr>
        <w:ind w:firstLine="480"/>
      </w:pPr>
      <w:r>
        <w:t>以下图示为2026年10月29日实际网站页面。网站访问或登录遇到问题时，可联系林英伟，联系电话：18320323457。</w:t>
      </w:r>
    </w:p>
    <w:p>
      <w:pPr>
        <w:keepNext/>
        <w:pageBreakBefore/>
      </w:pPr>
      <w:r>
        <w:rPr>
          <w:b/>
        </w:rPr>
        <w:t>步骤一 首页与睡眠评估</w:t>
      </w:r>
    </w:p>
    <w:p>
      <w:pPr>
        <w:ind w:firstLine="480"/>
      </w:pPr>
      <w:r>
        <w:t>在浏览器输入网站地址进入首页，通过顶部导航选择栏目。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>
            <wp:extent cx="432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点击“睡眠评估”，选择ESS量表或AI鼾声分析；点击“评估记录”查看已有结果。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>
            <wp:extent cx="432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sess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</w:pPr>
      <w:r>
        <w:rPr>
          <w:b/>
        </w:rPr>
        <w:t>步骤二 社区与健康商城</w:t>
      </w:r>
    </w:p>
    <w:p>
      <w:pPr>
        <w:ind w:firstLine="480"/>
      </w:pPr>
      <w:r>
        <w:t>点击“社区”，选择分类或搜索内容，点击内容卡片查看正文。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>
            <wp:extent cx="432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mun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点击“健康商城”，选择分类或搜索商品，点击商品卡片查看名称、价格及详情。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>
            <wp:extent cx="432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du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</w:pPr>
      <w:r>
        <w:rPr>
          <w:b/>
        </w:rPr>
        <w:t>步骤三 个人中心与治疗追踪</w:t>
      </w:r>
    </w:p>
    <w:p>
      <w:pPr>
        <w:ind w:firstLine="480"/>
      </w:pPr>
      <w:r>
        <w:t>登录后进入“个人中心”，点击对应按钮查看预约、病历、评估、设备及订单等内容。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>
            <wp:extent cx="432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点击“治疗追踪”并选择就诊人，查看治疗情况、打卡记录及后续健康管理入口。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>
            <wp:extent cx="4320000" cy="30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reat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</w:pPr>
      <w:r>
        <w:rPr>
          <w:b/>
        </w:rPr>
        <w:t>步骤四 确认订单与订单查询</w:t>
      </w:r>
    </w:p>
    <w:p>
      <w:pPr>
        <w:ind w:firstLine="480"/>
      </w:pPr>
      <w:r>
        <w:t>在商品详情点击“立即购买”，可查看确认订单弹窗；核验后关闭弹窗即可。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>
            <wp:extent cx="3780000" cy="26578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heck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5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进入“个人中心”→“我的订单”→“查看详情”，查看已有订单的状态、商品和金额。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>
            <wp:extent cx="3780000" cy="26578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or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5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/>
        <w:jc w:val="right"/>
      </w:pPr>
      <w:r>
        <w:rPr>
          <w:color w:val="C00000"/>
        </w:rPr>
        <w:t>申请单位：深圳兴康明诊所（盖章）</w:t>
      </w:r>
    </w:p>
    <w:p>
      <w:pPr>
        <w:keepNext/>
        <w:jc w:val="right"/>
      </w:pPr>
      <w:r>
        <w:rPr>
          <w:color w:val="C00000"/>
        </w:rPr>
        <w:t>法定代表人或负责人签字：________________</w:t>
      </w:r>
    </w:p>
    <w:p>
      <w:pPr>
        <w:jc w:val="right"/>
      </w:pPr>
      <w:r>
        <w:rPr>
          <w:color w:val="C00000"/>
        </w:rPr>
        <w:t>日期：________年____月____日</w:t>
      </w:r>
    </w:p>
    <w:sectPr>
      <w:headerReference w:type="default" r:id="rId12"/>
      <w:footerReference w:type="default" r:id="rId13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="360" w:lineRule="exact" w:after="100"/>
      <w:jc w:val="left"/>
    </w:pPr>
    <w:rPr>
      <w:rFonts w:ascii="Noto Serif CJK SC" w:hAnsi="Noto Serif CJK SC" w:eastAsia="Noto Serif CJK SC" w:cs="Times New Roman"/>
      <w:color w:val="000000"/>
      <w:kern w:val="2"/>
      <w:sz w:val="24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erif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Title">
    <w:name w:val="Title"/>
    <w:pPr>
      <w:spacing w:line="360" w:lineRule="exact" w:after="100"/>
      <w:jc w:val="left"/>
    </w:pPr>
    <w:rPr>
      <w:rFonts w:ascii="Noto Serif CJK SC" w:hAnsi="Noto Serif CJK SC" w:eastAsia="Noto Serif CJK SC"/>
      <w:color w:val="000000"/>
      <w:sz w:val="24"/>
    </w:rPr>
  </w:style>
  <w:style w:type="paragraph" w:customStyle="1" w:styleId="Heading1">
    <w:name w:val="heading 1"/>
    <w:pPr>
      <w:spacing w:line="360" w:lineRule="exact" w:after="100"/>
      <w:jc w:val="left"/>
    </w:pPr>
    <w:rPr>
      <w:rFonts w:ascii="Noto Serif CJK SC" w:hAnsi="Noto Serif CJK SC" w:eastAsia="Noto Serif CJK SC"/>
      <w:color w:val="000000"/>
      <w:sz w:val="24"/>
    </w:rPr>
  </w:style>
  <w:style w:type="paragraph" w:customStyle="1" w:styleId="Heading2">
    <w:name w:val="heading 2"/>
    <w:pPr>
      <w:spacing w:line="360" w:lineRule="exact" w:after="100"/>
      <w:jc w:val="left"/>
    </w:pPr>
    <w:rPr>
      <w:rFonts w:ascii="Noto Serif CJK SC" w:hAnsi="Noto Serif CJK SC" w:eastAsia="Noto Serif CJK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深圳兴康明诊所</dc:creator>
  <dc:description/>
  <dc:language>zh-CN</dc:language>
  <cp:lastModifiedBy>深圳兴康明诊所</cp:lastModifiedBy>
  <dcterms:modified xsi:type="dcterms:W3CDTF">2022-01-12T14:33:47Z</dcterms:modified>
  <cp:revision>0</cp:revision>
  <dc:subject/>
  <dc:title>_x0001__x0001__x0001__x0001__x0001__x0001__x0001_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