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Noto Serif CJK SC" w:hAnsi="Noto Serif CJK SC" w:eastAsia="Noto Serif CJK SC"/>
          <w:b w:val="0"/>
          <w:color w:val="000000"/>
          <w:sz w:val="20"/>
        </w:rPr>
        <w:t>备案材料 4</w:t>
      </w:r>
    </w:p>
    <w:p>
      <w:pPr>
        <w:pStyle w:val="Title"/>
        <w:jc w:val="center"/>
      </w:pPr>
      <w:r>
        <w:t>网站栏目设置说明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深圳兴康明诊所通过“兴康明”PC网站提供睡眠健康信息浏览、就诊预约、健康评估、治疗记录查询及健康商品展示等服务。本说明列明网站栏目、访问权限、收费方式和主要界面，供互联网药品医疗器械信息服务备案核验使用。</w:t>
      </w:r>
    </w:p>
    <w:p>
      <w:pPr>
        <w:pStyle w:val="Heading1"/>
      </w:pPr>
      <w:r>
        <w:t>一 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项目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申请单位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深圳兴康明诊所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网站名称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兴康明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互联网信息服务载体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PC网站，使用电脑浏览器访问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网站域名及公网访问地址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网站负责人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林英伟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技术联系人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林英伟  18320323457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联系方式服务时段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工作日 10:00—12:00、14:00—18:00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后台用途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管理内容、商品、预约、订单、权限及日志；不面向公众开放。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材料对应范围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本次材料为PC网站版本，栏目和路径均以PC页面为准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网站公开信息可直接浏览。涉及个人健康、就诊和订单的栏目须登录，并按当前账号及就诊人权限查看。网站不以健康问卷、录音分析或用户交流内容代替执业医师诊断。</w:t>
      </w:r>
    </w:p>
    <w:p>
      <w:r>
        <w:br w:type="page"/>
      </w:r>
    </w:p>
    <w:p>
      <w:pPr>
        <w:pStyle w:val="Heading1"/>
      </w:pPr>
      <w:r>
        <w:t>二 栏目设置与访问权限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5216"/>
        <w:gridCol w:w="249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栏目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主要内容及功能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访问及收费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首页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诊所介绍、服务入口、推荐医生、门店信息；进入睡眠评估、预约就诊等栏目。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公开，免费浏览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门店与医生及预约就诊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门店列表、医生介绍、可预约日期和时段；预约确认、预约列表及详情。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公开浏览门店与医生；预约及记录需登录。诊疗收费按公示标准执行。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睡眠评估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ESS嗜睡量表、AI鼾声分析入口、评估记录、评分解读和答案回顾。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入口公开；提交评估、录音和个人报告需登录。评估信息不单独收费。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治疗追踪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佩戴打卡、打卡日历、睡眠趋势、睡眠报告、治疗时间线、医嘱建议和设备调整。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需登录及就诊人权限；记录查询免费。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社区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分享、提问、科普内容的分类及搜索、详情浏览；登录后发布、评论、点赞、收藏和举报。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公开内容免费浏览；发布及互动需登录。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健康商城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商品分类与搜索、图片、价格及详情；弹窗确认订单、订单列表和订单详情。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商品浏览免费；购买和订单需登录，商品费用按订单金额执行。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个人中心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资料编辑、就诊人、病历、阻鼾器、预约、评估、订单、会员权益、消息通知、客服及账号安全。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需登录；信息查询免费，交易按对应项目收费。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用户协议与隐私政策</w:t>
            </w:r>
          </w:p>
        </w:tc>
        <w:tc>
          <w:tcPr>
            <w:tcW w:type="dxa" w:w="5216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服务约定、个人信息处理、录音与健康信息用途及用户权利说明。</w:t>
            </w:r>
          </w:p>
        </w:tc>
        <w:tc>
          <w:tcPr>
            <w:tcW w:type="dxa" w:w="2494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页脚公开入口，免费浏览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内容管理与收费方式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医疗器械及相关产品信息须由本单位授权人员核验来源、产品名称、规格型号、生产企业、注册或备案证明、适用范围、使用说明和注意事项后发布。页面宣传应与有效证明文件及说明书保持一致，不发布未经核实的资质或疗效承诺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健康科普与用户交流内容用于健康知识介绍和经验交流，不作为诊断、处方或治疗依据。对用户发布内容实施审核管理；发现违法违规、虚假宣传或侵犯隐私的内容，应及时处置并留存记录。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首页、社区、商品基础信息及协议页面不收取信息浏览费；当前不设置以付费解锁药品或医疗器械信息详情为目的的收费栏目。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购买商品时，用户在商品详情点击“立即购买”，通过确认订单弹窗核对数量、配送方式和联系信息。创建订单后，在订单详情查看应付金额和状态。PC端待支付订单需联系门店完成付款，当前不提供PC网页在线支付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预约线下诊疗如涉及挂号费、诊疗费、定金或其他服务费用，以预约页面及门店收费公示为准。浏览与核验栏目不要求监管人员进行实际付款或产生真实订单。</w:t>
      </w:r>
    </w:p>
    <w:p>
      <w:pPr>
        <w:pStyle w:val="Heading1"/>
      </w:pPr>
      <w:r>
        <w:t>四 截图与资料说明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本材料附PC网站主要界面。登录后页面使用标有“示例”的非真实患者数据展示功能；示例记录仅说明页面结构和操作，不作为真实诊疗、成交、产品资质或经营业绩证明。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本单位提交材料时，应核对网站名称、域名、主体、栏目、产品资料及收费内容与供监管核验的网站保持一致。网址及专用账号信息在材料6中填写，签字盖章后随备案资料一并提交。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申请单位：深圳兴康明诊所（盖章）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法定代表人或负责人：林英伟    签字：________________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日期：________年____月____日</w:t>
      </w:r>
    </w:p>
    <w:p>
      <w:r>
        <w:br w:type="page"/>
      </w:r>
    </w:p>
    <w:p>
      <w:pPr>
        <w:pStyle w:val="Heading1"/>
      </w:pPr>
      <w:r>
        <w:t>五 首页界面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操作路径：打开网站 → 首页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顶部导航提供首页、睡眠评估、治疗追踪、社区、健康商城和预约就诊入口。首页下方继续展示服务、医生及门店相关内容。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1" name="Picture 1" descr="五 首页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PC网站实际界面截图。截图展示当前可见内容，完整页面可向下滚动查看。</w:t>
      </w:r>
    </w:p>
    <w:p>
      <w:r>
        <w:br w:type="page"/>
      </w:r>
    </w:p>
    <w:p>
      <w:pPr>
        <w:pStyle w:val="Heading1"/>
      </w:pPr>
      <w:r>
        <w:t>六 睡眠评估界面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操作路径：顶部导航“睡眠评估”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页面提供ESS嗜睡量表和AI鼾声分析两项入口；个人评估记录从“评估记录”进入。结果仅供健康参考。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2" name="Picture 2" descr="六 睡眠评估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sess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PC网站实际界面截图。截图展示当前可见内容，完整页面可向下滚动查看。</w:t>
      </w:r>
    </w:p>
    <w:p>
      <w:r>
        <w:br w:type="page"/>
      </w:r>
    </w:p>
    <w:p>
      <w:pPr>
        <w:pStyle w:val="Heading1"/>
      </w:pPr>
      <w:r>
        <w:t>七 社区界面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操作路径：顶部导航“社区”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通过“全部、分享、提问、科普”分类及搜索查看内容，点击“阅读全文”进入详情；登录后可使用发布及互动功能。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3" name="Picture 3" descr="七 社区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mu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PC网站实际界面截图。截图展示当前可见内容，完整页面可向下滚动查看。</w:t>
      </w:r>
    </w:p>
    <w:p>
      <w:r>
        <w:br w:type="page"/>
      </w:r>
    </w:p>
    <w:p>
      <w:pPr>
        <w:pStyle w:val="Heading1"/>
      </w:pPr>
      <w:r>
        <w:t>八 健康商城界面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操作路径：顶部导航“健康商城”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通过医疗器械、配件耗材、服务套餐等分类或搜索查看商品，点击商品卡片查看详情。商品销售费用与信息浏览费分别说明。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4" name="Picture 4" descr="八 健康商城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PC网站实际界面截图。截图展示当前可见内容，完整页面可向下滚动查看。</w:t>
      </w:r>
    </w:p>
    <w:p>
      <w:r>
        <w:br w:type="page"/>
      </w:r>
    </w:p>
    <w:p>
      <w:pPr>
        <w:pStyle w:val="Heading1"/>
      </w:pPr>
      <w:r>
        <w:t>九 商品详情界面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操作路径：健康商城 → 商品卡片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页面展示商品名称、图片、价格和详情，并提供“立即购买”入口。图中内容为当前页面展示，注册或备案证明应与对应产品资料核对。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5" name="Picture 5" descr="九 商品详情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du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PC网站实际界面截图。截图展示当前可见内容，完整页面可向下滚动查看。</w:t>
      </w:r>
    </w:p>
    <w:p>
      <w:r>
        <w:br w:type="page"/>
      </w:r>
    </w:p>
    <w:p>
      <w:pPr>
        <w:pStyle w:val="Heading1"/>
      </w:pPr>
      <w:r>
        <w:t>十 个人中心界面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操作路径：右上角“登录” → 登录成功 → “个人中心”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健康管理、我的服务和账号设置按功能分组；可从按钮进入预约、病历、评估、设备、订单、消息、客服及账号安全。</w:t>
      </w:r>
    </w:p>
    <w:p>
      <w:pPr>
        <w:spacing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1875"/>
            <wp:docPr id="6" name="Picture 6" descr="十 个人中心界面 PC网站界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Noto Serif CJK SC" w:hAnsi="Noto Serif CJK SC" w:eastAsia="Noto Serif CJK SC"/>
          <w:b w:val="0"/>
          <w:color w:val="000000"/>
          <w:sz w:val="20"/>
        </w:rPr>
        <w:t>界面示例。图中就诊人、评估、诊疗或订单记录为功能演示数据，不对应真实患者或真实交易。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72" w:lineRule="exact"/>
      <w:snapToGrid w:val="0"/>
    </w:pPr>
    <w:rPr>
      <w:rFonts w:ascii="Noto Serif CJK SC" w:hAnsi="Noto Serif CJK SC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65" w:lineRule="exact"/>
      <w:outlineLvl w:val="0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403" w:lineRule="exact"/>
      <w:outlineLvl w:val="1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682" w:lineRule="exact"/>
      <w:contextualSpacing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0" w:lineRule="exact" w:after="140"/>
      <w:snapToGrid w:val="0"/>
    </w:pPr>
    <w:rPr>
      <w:rFonts w:ascii="Noto Serif CJK SC" w:hAnsi="Noto Serif CJK SC" w:eastAsia="Noto Serif CJK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网站栏目设置说明</dc:title>
  <dc:subject>PC网站备案材料</dc:subject>
  <dc:creator>深圳兴康明诊所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