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Noto Serif CJK SC" w:hAnsi="Noto Serif CJK SC" w:eastAsia="Noto Serif CJK SC"/>
          <w:b w:val="0"/>
          <w:color w:val="000000"/>
          <w:sz w:val="20"/>
        </w:rPr>
        <w:t>备案材料 5</w:t>
      </w:r>
    </w:p>
    <w:p>
      <w:pPr>
        <w:pStyle w:val="Title"/>
        <w:jc w:val="center"/>
      </w:pPr>
      <w:r>
        <w:t>历史发布信息备份和查阅管理制度</w:t>
        <w:br/>
        <w:t>及执行情况说明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深圳兴康明诊所为保存PC网站历史发布信息，保障信息可查阅、可追溯和可恢复，制定本制度。本制度适用于“兴康明”网站及相关内容维护后台，由网站负责人组织实施。</w:t>
      </w:r>
    </w:p>
    <w:p>
      <w:pPr>
        <w:pStyle w:val="Heading1"/>
      </w:pPr>
      <w:r>
        <w:t>一 管理范围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纳入管理的内容包括健康科普和社区发布信息、商品及医疗器械介绍、医生和门店信息、首页展示内容、用户协议、隐私政策以及相关发布审核和操作记录。患者病历、健康评估、录音分析结果、就诊和订单数据按敏感程度另行实施权限控制，不因本制度扩大公开范围。</w:t>
      </w:r>
    </w:p>
    <w:p>
      <w:pPr>
        <w:pStyle w:val="Heading1"/>
      </w:pPr>
      <w:r>
        <w:t>二 责任分工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68"/>
        <w:gridCol w:w="7143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E9EDF2"/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/>
                <w:color w:val="000000"/>
                <w:sz w:val="22"/>
              </w:rPr>
              <w:t>岗位</w:t>
            </w:r>
          </w:p>
        </w:tc>
        <w:tc>
          <w:tcPr>
            <w:tcW w:type="dxa" w:w="7143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E9EDF2"/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/>
                <w:color w:val="000000"/>
                <w:sz w:val="22"/>
              </w:rPr>
              <w:t>职责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网站负责人</w:t>
            </w:r>
          </w:p>
        </w:tc>
        <w:tc>
          <w:tcPr>
            <w:tcW w:type="dxa" w:w="7143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林英伟。组织制定备份计划，审批查阅与恢复申请，安排复核和异常处理。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内容审核人员</w:t>
            </w:r>
          </w:p>
        </w:tc>
        <w:tc>
          <w:tcPr>
            <w:tcW w:type="dxa" w:w="7143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核对信息来源、产品证明及发布内容；留存审核记录及修改、下架依据。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系统及数据库管理员</w:t>
            </w:r>
          </w:p>
        </w:tc>
        <w:tc>
          <w:tcPr>
            <w:tcW w:type="dxa" w:w="7143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执行备份、完整性校验、隔离恢复和权限维护，保管备份及执行记录。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复核人员</w:t>
            </w:r>
          </w:p>
        </w:tc>
        <w:tc>
          <w:tcPr>
            <w:tcW w:type="dxa" w:w="7143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复核目标信息、备份文件及恢复结果，抽查记录完整性并签署结论。</w:t>
            </w:r>
          </w:p>
        </w:tc>
      </w:tr>
    </w:tbl>
    <w:p>
      <w:pPr>
        <w:spacing w:after="20"/>
      </w:pPr>
    </w:p>
    <w:p>
      <w:pPr>
        <w:pStyle w:val="Heading1"/>
      </w:pPr>
      <w:r>
        <w:t>三 发布与历史留存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1. 发布前留存内容来源、核验依据、审核人和审核时间。医疗器械信息应能对应产品证明及说明书。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2. 内容修改、下架或删除前，保留原版本、附件、原发布时间、处理原因、操作人员及处理时间。不得以仅保存当前页面替代历史留存。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3. 历史版本按内容标识、标题、类别及时间关联归档；后台记录不能完整表达版本变化时，须同步保存经审批的导出文件、附件和页面留档。</w:t>
      </w:r>
    </w:p>
    <w:p>
      <w:r>
        <w:br w:type="page"/>
      </w:r>
    </w:p>
    <w:p>
      <w:pPr>
        <w:pStyle w:val="Heading1"/>
      </w:pPr>
      <w:r>
        <w:t>四 备份策略与安全要求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3969"/>
        <w:gridCol w:w="3742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E9EDF2"/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/>
                <w:color w:val="000000"/>
                <w:sz w:val="22"/>
              </w:rPr>
              <w:t>备份对象</w:t>
            </w:r>
          </w:p>
        </w:tc>
        <w:tc>
          <w:tcPr>
            <w:tcW w:type="dxa" w:w="3969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E9EDF2"/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/>
                <w:color w:val="000000"/>
                <w:sz w:val="22"/>
              </w:rPr>
              <w:t>执行要求</w:t>
            </w:r>
          </w:p>
        </w:tc>
        <w:tc>
          <w:tcPr>
            <w:tcW w:type="dxa" w:w="3742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E9EDF2"/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/>
                <w:color w:val="000000"/>
                <w:sz w:val="22"/>
              </w:rPr>
              <w:t>保存与核验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数据库</w:t>
            </w:r>
          </w:p>
        </w:tc>
        <w:tc>
          <w:tcPr>
            <w:tcW w:type="dxa" w:w="3969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每日备份一次；重大版本、结构变更及批量数据操作前增加备份。</w:t>
            </w:r>
          </w:p>
        </w:tc>
        <w:tc>
          <w:tcPr>
            <w:tcW w:type="dxa" w:w="3742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核对文件生成时间、大小、校验值及执行结果。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图片和附件</w:t>
            </w:r>
          </w:p>
        </w:tc>
        <w:tc>
          <w:tcPr>
            <w:tcW w:type="dxa" w:w="3969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与内容记录一并纳入备份；文件变更后及时同步。</w:t>
            </w:r>
          </w:p>
        </w:tc>
        <w:tc>
          <w:tcPr>
            <w:tcW w:type="dxa" w:w="3742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保留文件本体及对应关系，不以访问链接替代文件。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发布版本与配置</w:t>
            </w:r>
          </w:p>
        </w:tc>
        <w:tc>
          <w:tcPr>
            <w:tcW w:type="dxa" w:w="3969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保存发布版本及必要配置；敏感配置单独受控保管。</w:t>
            </w:r>
          </w:p>
        </w:tc>
        <w:tc>
          <w:tcPr>
            <w:tcW w:type="dxa" w:w="3742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记录版本、变更人员和发布时间，不向公开代码库暴露密码或密钥。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审核和操作记录</w:t>
            </w:r>
          </w:p>
        </w:tc>
        <w:tc>
          <w:tcPr>
            <w:tcW w:type="dxa" w:w="3969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持续留存关键发布、修改、下架、权限和恢复操作记录。</w:t>
            </w:r>
          </w:p>
        </w:tc>
        <w:tc>
          <w:tcPr>
            <w:tcW w:type="dxa" w:w="3742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按授权范围查询，防止未经授权修改或删除。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备份与生产数据分离保存，限制访问并采取加密等保护措施。日常备份拟保存180天；涉及依法应更长保存的信息、争议处理或监管调查的，按相应要求延长，未履行审批不得删除。具体存储位置在执行记录中登记。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系统管理员应定期检查备份任务、存储容量及文件完整性；至少每季度开展一次隔离恢复验证，并在重大变更后追加验证。恢复测试不得覆盖生产数据。备份下载、复制、恢复及销毁均应留存申请和操作记录。</w:t>
      </w:r>
    </w:p>
    <w:p>
      <w:pPr>
        <w:pStyle w:val="Heading1"/>
      </w:pPr>
      <w:r>
        <w:t>五 查阅与恢复流程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申请人提出对象、时间范围和用途；网站负责人审批；管理员在授权范围检索后台记录或备份；需要恢复时先在隔离环境执行；申请人与复核人员核对内容、附件及时间点；最后登记结果并归档。向监管部门提供资料时，按其要求提交，并对无关个人信息进行遮盖或脱敏。</w:t>
      </w:r>
    </w:p>
    <w:p>
      <w:pPr>
        <w:pStyle w:val="Heading1"/>
      </w:pPr>
      <w:r>
        <w:t>六 异常处理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发现备份失败、文件损坏、信息丢失或未经授权访问时，执行人员应立即报告网站负责人，保留日志和现场记录，查明影响范围并安排补备份或恢复。涉及个人信息和数据安全事件的，依相关要求报告和处置，处理过程及复核结论应归档。</w:t>
      </w:r>
    </w:p>
    <w:p>
      <w:r>
        <w:br w:type="page"/>
      </w:r>
    </w:p>
    <w:p>
      <w:pPr>
        <w:pStyle w:val="Heading1"/>
      </w:pPr>
      <w:r>
        <w:t>七 现有能力与执行记录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网站通过业务后台维护内容、商品等信息，相关数据由数据库及上传文件保存。项目已配备数据库备份和按指定文件恢复的工具；具体部署、定时任务、存储位置及执行结果以本单位实际配置和记录为准。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以下为实际执行记录栏，须由执行人员根据真实备份和恢复操作填写，并附相应日志、文件清单或核验截图。页面功能演示数据不作为备份成功、恢复成功或正式运营记录的证明。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118"/>
        <w:gridCol w:w="6293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E9EDF2"/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/>
                <w:color w:val="000000"/>
                <w:sz w:val="22"/>
              </w:rPr>
              <w:t>记录项目</w:t>
            </w:r>
          </w:p>
        </w:tc>
        <w:tc>
          <w:tcPr>
            <w:tcW w:type="dxa" w:w="6293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  <w:shd w:fill="E9EDF2"/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/>
                <w:color w:val="000000"/>
                <w:sz w:val="22"/>
              </w:rPr>
              <w:t>实际记录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备份日期及执行人员</w:t>
            </w:r>
          </w:p>
        </w:tc>
        <w:tc>
          <w:tcPr>
            <w:tcW w:type="dxa" w:w="6293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 xml:space="preserve">                                                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部署环境及备份范围</w:t>
            </w:r>
          </w:p>
        </w:tc>
        <w:tc>
          <w:tcPr>
            <w:tcW w:type="dxa" w:w="6293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 xml:space="preserve">                                                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备份文件名称</w:t>
            </w:r>
          </w:p>
        </w:tc>
        <w:tc>
          <w:tcPr>
            <w:tcW w:type="dxa" w:w="6293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 xml:space="preserve">                                                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文件生成时间及大小</w:t>
            </w:r>
          </w:p>
        </w:tc>
        <w:tc>
          <w:tcPr>
            <w:tcW w:type="dxa" w:w="6293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 xml:space="preserve">                                                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文件校验值及算法</w:t>
            </w:r>
          </w:p>
        </w:tc>
        <w:tc>
          <w:tcPr>
            <w:tcW w:type="dxa" w:w="6293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 xml:space="preserve">                                                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备份保存位置及权限</w:t>
            </w:r>
          </w:p>
        </w:tc>
        <w:tc>
          <w:tcPr>
            <w:tcW w:type="dxa" w:w="6293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 xml:space="preserve">                                                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隔离恢复日期及环境</w:t>
            </w:r>
          </w:p>
        </w:tc>
        <w:tc>
          <w:tcPr>
            <w:tcW w:type="dxa" w:w="6293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 xml:space="preserve">                                                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恢复结果及抽查内容</w:t>
            </w:r>
          </w:p>
        </w:tc>
        <w:tc>
          <w:tcPr>
            <w:tcW w:type="dxa" w:w="6293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 xml:space="preserve">                                                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异常及处理情况</w:t>
            </w:r>
          </w:p>
        </w:tc>
        <w:tc>
          <w:tcPr>
            <w:tcW w:type="dxa" w:w="6293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 xml:space="preserve">                                                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复核人员及复核日期</w:t>
            </w:r>
          </w:p>
        </w:tc>
        <w:tc>
          <w:tcPr>
            <w:tcW w:type="dxa" w:w="6293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 xml:space="preserve">                                                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>执行日志或截图附件编号</w:t>
            </w:r>
          </w:p>
        </w:tc>
        <w:tc>
          <w:tcPr>
            <w:tcW w:type="dxa" w:w="6293"/>
            <w:vAlign w:val="center"/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0" w:line="340" w:lineRule="exact"/>
            </w:pPr>
            <w:r>
              <w:rPr>
                <w:rFonts w:ascii="Noto Serif CJK SC" w:hAnsi="Noto Serif CJK SC" w:eastAsia="Noto Serif CJK SC"/>
                <w:b w:val="0"/>
                <w:color w:val="000000"/>
                <w:sz w:val="22"/>
              </w:rPr>
              <w:t xml:space="preserve">                                                </w:t>
            </w:r>
          </w:p>
        </w:tc>
      </w:tr>
    </w:tbl>
    <w:p>
      <w:pPr>
        <w:spacing w:after="20"/>
      </w:pPr>
    </w:p>
    <w:p>
      <w:pPr>
        <w:pStyle w:val="Heading1"/>
      </w:pPr>
      <w:r>
        <w:t>八 生效与修订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本制度由本单位负责人批准后生效。网站栏目、部署架构、备份方式或有关要求发生变化时，应及时修订并通知相关人员执行。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申请单位：深圳兴康明诊所（盖章）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法定代表人或负责人：林英伟    签字：________________</w:t>
      </w:r>
    </w:p>
    <w:p>
      <w:pPr>
        <w:widowControl/>
      </w:pPr>
      <w:r>
        <w:rPr>
          <w:rFonts w:ascii="Noto Serif CJK SC" w:hAnsi="Noto Serif CJK SC" w:eastAsia="Noto Serif CJK SC"/>
          <w:b w:val="0"/>
          <w:color w:val="000000"/>
          <w:sz w:val="24"/>
        </w:rPr>
        <w:t>日期：________年____月____日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45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/>
        <w:b w:val="0"/>
        <w:color w:val="000000"/>
        <w:sz w:val="18"/>
      </w:rPr>
      <w:t xml:space="preserve">第 </w:t>
    </w:r>
    <w:fldSimple w:instr="PAGE"/>
    <w:r>
      <w:rPr>
        <w:rFonts w:ascii="Noto Serif CJK SC" w:hAnsi="Noto Serif CJK SC" w:eastAsia="Noto Serif CJK SC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72" w:lineRule="exact"/>
      <w:snapToGrid w:val="0"/>
    </w:pPr>
    <w:rPr>
      <w:rFonts w:ascii="Noto Serif CJK SC" w:hAnsi="Noto Serif CJK SC" w:eastAsia="Noto Serif CJK S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465" w:lineRule="exact"/>
      <w:outlineLvl w:val="0"/>
      <w:snapToGrid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403" w:lineRule="exact"/>
      <w:outlineLvl w:val="1"/>
      <w:snapToGrid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682" w:lineRule="exact"/>
      <w:contextualSpacing/>
      <w:snapToGrid w:val="0"/>
    </w:pPr>
    <w:rPr>
      <w:rFonts w:asciiTheme="majorHAnsi" w:eastAsiaTheme="majorEastAsia" w:hAnsiTheme="majorHAnsi" w:cstheme="majorBidi" w:ascii="Noto Serif CJK SC" w:hAnsi="Noto Serif CJK SC" w:eastAsia="Noto Serif CJK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10" w:lineRule="exact" w:after="140"/>
      <w:snapToGrid w:val="0"/>
    </w:pPr>
    <w:rPr>
      <w:rFonts w:ascii="Noto Serif CJK SC" w:hAnsi="Noto Serif CJK SC" w:eastAsia="Noto Serif CJK SC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历史发布信息备份和查阅管理制度及执行情况说明</dc:title>
  <dc:subject>PC网站备案材料</dc:subject>
  <dc:creator>深圳兴康明诊所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