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Noto Serif CJK SC" w:hAnsi="Noto Serif CJK SC" w:eastAsia="Noto Serif CJK SC"/>
          <w:b w:val="0"/>
          <w:color w:val="000000"/>
          <w:sz w:val="20"/>
        </w:rPr>
        <w:t>备案材料 6</w:t>
      </w:r>
    </w:p>
    <w:p>
      <w:pPr>
        <w:pStyle w:val="Title"/>
        <w:jc w:val="center"/>
      </w:pPr>
      <w:r>
        <w:t>监管部门在线浏览网站全部栏目内容</w:t>
        <w:br/>
        <w:t>的方法及操作说明</w:t>
      </w:r>
    </w:p>
    <w:p>
      <w:pPr>
        <w:widowControl/>
      </w:pPr>
      <w:r>
        <w:rPr>
          <w:rFonts w:ascii="Noto Serif CJK SC" w:hAnsi="Noto Serif CJK SC" w:eastAsia="Noto Serif CJK SC"/>
          <w:b w:val="0"/>
          <w:color w:val="000000"/>
          <w:sz w:val="24"/>
        </w:rPr>
        <w:t>本说明供监管人员在线核验深圳兴康明诊所“兴康明”PC网站使用，列明访问方式、账号准备、各栏目点击路径和个人数据的查看方法。公开栏目无需登录；涉及个人记录的栏目通过审核专用账号查看。</w:t>
      </w:r>
    </w:p>
    <w:p>
      <w:pPr>
        <w:pStyle w:val="Heading1"/>
      </w:pPr>
      <w:r>
        <w:t>一 访问资料</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6576"/>
      </w:tblGrid>
      <w:tr>
        <w:trPr>
          <w:cantSplit/>
          <w:tblHeader/>
        </w:trPr>
        <w:tc>
          <w:tcPr>
            <w:tcW w:type="dxa" w:w="2835"/>
            <w:vAlign w:val="center"/>
            <w:tcMar>
              <w:top w:w="110" w:type="dxa"/>
              <w:bottom w:w="110" w:type="dxa"/>
              <w:left w:w="110" w:type="dxa"/>
              <w:right w:w="110" w:type="dxa"/>
            </w:tcMar>
            <w:shd w:fill="E9EDF2"/>
          </w:tcPr>
          <w:p>
            <w:pPr>
              <w:spacing w:after="0" w:line="340" w:lineRule="exact"/>
            </w:pPr>
            <w:r>
              <w:rPr>
                <w:rFonts w:ascii="Noto Serif CJK SC" w:hAnsi="Noto Serif CJK SC" w:eastAsia="Noto Serif CJK SC"/>
                <w:b/>
                <w:color w:val="000000"/>
                <w:sz w:val="22"/>
              </w:rPr>
              <w:t>项目</w:t>
            </w:r>
          </w:p>
        </w:tc>
        <w:tc>
          <w:tcPr>
            <w:tcW w:type="dxa" w:w="6576"/>
            <w:vAlign w:val="center"/>
            <w:tcMar>
              <w:top w:w="110" w:type="dxa"/>
              <w:bottom w:w="110" w:type="dxa"/>
              <w:left w:w="110" w:type="dxa"/>
              <w:right w:w="110" w:type="dxa"/>
            </w:tcMar>
            <w:shd w:fill="E9EDF2"/>
          </w:tcPr>
          <w:p>
            <w:pPr>
              <w:spacing w:after="0" w:line="340" w:lineRule="exact"/>
            </w:pPr>
            <w:r>
              <w:rPr>
                <w:rFonts w:ascii="Noto Serif CJK SC" w:hAnsi="Noto Serif CJK SC" w:eastAsia="Noto Serif CJK SC"/>
                <w:b/>
                <w:color w:val="000000"/>
                <w:sz w:val="22"/>
              </w:rPr>
              <w:t>内容</w:t>
            </w:r>
          </w:p>
        </w:tc>
      </w:tr>
      <w:tr>
        <w:trPr>
          <w:cantSplit/>
        </w:trPr>
        <w:tc>
          <w:tcPr>
            <w:tcW w:type="dxa" w:w="283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申请单位及网站</w:t>
            </w:r>
          </w:p>
        </w:tc>
        <w:tc>
          <w:tcPr>
            <w:tcW w:type="dxa" w:w="6576"/>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深圳兴康明诊所  兴康明PC网站</w:t>
            </w:r>
          </w:p>
        </w:tc>
      </w:tr>
      <w:tr>
        <w:trPr>
          <w:cantSplit/>
        </w:trPr>
        <w:tc>
          <w:tcPr>
            <w:tcW w:type="dxa" w:w="283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网站公网访问地址</w:t>
            </w:r>
          </w:p>
        </w:tc>
        <w:tc>
          <w:tcPr>
            <w:tcW w:type="dxa" w:w="6576"/>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 xml:space="preserve">                                                </w:t>
            </w:r>
          </w:p>
        </w:tc>
      </w:tr>
      <w:tr>
        <w:trPr>
          <w:cantSplit/>
        </w:trPr>
        <w:tc>
          <w:tcPr>
            <w:tcW w:type="dxa" w:w="283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审核专用账号</w:t>
            </w:r>
          </w:p>
        </w:tc>
        <w:tc>
          <w:tcPr>
            <w:tcW w:type="dxa" w:w="6576"/>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 xml:space="preserve">                                                </w:t>
            </w:r>
          </w:p>
        </w:tc>
      </w:tr>
      <w:tr>
        <w:trPr>
          <w:cantSplit/>
        </w:trPr>
        <w:tc>
          <w:tcPr>
            <w:tcW w:type="dxa" w:w="283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账号登录方式</w:t>
            </w:r>
          </w:p>
        </w:tc>
        <w:tc>
          <w:tcPr>
            <w:tcW w:type="dxa" w:w="6576"/>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 xml:space="preserve">                                                </w:t>
            </w:r>
          </w:p>
        </w:tc>
      </w:tr>
      <w:tr>
        <w:trPr>
          <w:cantSplit/>
        </w:trPr>
        <w:tc>
          <w:tcPr>
            <w:tcW w:type="dxa" w:w="283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密码交付方式</w:t>
            </w:r>
          </w:p>
        </w:tc>
        <w:tc>
          <w:tcPr>
            <w:tcW w:type="dxa" w:w="6576"/>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由技术联系人通过受理部门指定的安全方式单独提供</w:t>
            </w:r>
          </w:p>
        </w:tc>
      </w:tr>
      <w:tr>
        <w:trPr>
          <w:cantSplit/>
        </w:trPr>
        <w:tc>
          <w:tcPr>
            <w:tcW w:type="dxa" w:w="283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访问设备</w:t>
            </w:r>
          </w:p>
        </w:tc>
        <w:tc>
          <w:tcPr>
            <w:tcW w:type="dxa" w:w="6576"/>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可联网电脑，使用当前稳定版本的Chrome、Edge或Safari浏览器</w:t>
            </w:r>
          </w:p>
        </w:tc>
      </w:tr>
      <w:tr>
        <w:trPr>
          <w:cantSplit/>
        </w:trPr>
        <w:tc>
          <w:tcPr>
            <w:tcW w:type="dxa" w:w="283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技术联系人</w:t>
            </w:r>
          </w:p>
        </w:tc>
        <w:tc>
          <w:tcPr>
            <w:tcW w:type="dxa" w:w="6576"/>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林英伟  18320323457</w:t>
            </w:r>
          </w:p>
        </w:tc>
      </w:tr>
      <w:tr>
        <w:trPr>
          <w:cantSplit/>
        </w:trPr>
        <w:tc>
          <w:tcPr>
            <w:tcW w:type="dxa" w:w="283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协助时段</w:t>
            </w:r>
          </w:p>
        </w:tc>
        <w:tc>
          <w:tcPr>
            <w:tcW w:type="dxa" w:w="6576"/>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工作日 10:00—12:00、14:00—18:00</w:t>
            </w:r>
          </w:p>
        </w:tc>
      </w:tr>
      <w:tr>
        <w:trPr>
          <w:cantSplit/>
        </w:trPr>
        <w:tc>
          <w:tcPr>
            <w:tcW w:type="dxa" w:w="283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后台辅助核验地址及只读账号</w:t>
            </w:r>
          </w:p>
        </w:tc>
        <w:tc>
          <w:tcPr>
            <w:tcW w:type="dxa" w:w="6576"/>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 xml:space="preserve">                                                </w:t>
            </w:r>
          </w:p>
        </w:tc>
      </w:tr>
    </w:tbl>
    <w:p>
      <w:pPr>
        <w:spacing w:after="20"/>
      </w:pPr>
    </w:p>
    <w:p>
      <w:pPr>
        <w:pStyle w:val="Heading1"/>
      </w:pPr>
      <w:r>
        <w:t>二 开始浏览</w:t>
      </w:r>
    </w:p>
    <w:p>
      <w:pPr>
        <w:widowControl/>
      </w:pPr>
      <w:r>
        <w:rPr>
          <w:rFonts w:ascii="Noto Serif CJK SC" w:hAnsi="Noto Serif CJK SC" w:eastAsia="Noto Serif CJK SC"/>
          <w:b w:val="0"/>
          <w:color w:val="000000"/>
          <w:sz w:val="24"/>
        </w:rPr>
        <w:t>1. 在电脑浏览器输入上述地址，进入首页并核对网站标识“兴康明”。</w:t>
      </w:r>
    </w:p>
    <w:p>
      <w:pPr>
        <w:widowControl/>
      </w:pPr>
      <w:r>
        <w:rPr>
          <w:rFonts w:ascii="Noto Serif CJK SC" w:hAnsi="Noto Serif CJK SC" w:eastAsia="Noto Serif CJK SC"/>
          <w:b w:val="0"/>
          <w:color w:val="000000"/>
          <w:sz w:val="24"/>
        </w:rPr>
        <w:t>2. 使用顶部导航浏览公开栏目。查看个人记录时，点击右上角“登录”，按审核专用账号已开通的方式登录。</w:t>
      </w:r>
    </w:p>
    <w:p>
      <w:pPr>
        <w:widowControl/>
      </w:pPr>
      <w:r>
        <w:rPr>
          <w:rFonts w:ascii="Noto Serif CJK SC" w:hAnsi="Noto Serif CJK SC" w:eastAsia="Noto Serif CJK SC"/>
          <w:b w:val="0"/>
          <w:color w:val="000000"/>
          <w:sz w:val="24"/>
        </w:rPr>
        <w:t>3. 登录后从“个人中心”进入相应健康栏目，选择“示例就诊人”，按下表逐项核验；向下滚动可查看完整页面。</w:t>
      </w:r>
    </w:p>
    <w:p>
      <w:r>
        <w:br w:type="page"/>
      </w:r>
    </w:p>
    <w:p>
      <w:pPr>
        <w:pStyle w:val="Heading1"/>
      </w:pPr>
      <w:r>
        <w:t>三 公开栏目与互动功能路径</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28"/>
        <w:gridCol w:w="3685"/>
        <w:gridCol w:w="3798"/>
      </w:tblGrid>
      <w:tr>
        <w:trPr>
          <w:cantSplit/>
          <w:tblHeader/>
        </w:trPr>
        <w:tc>
          <w:tcPr>
            <w:tcW w:type="dxa" w:w="1928"/>
            <w:vAlign w:val="center"/>
            <w:tcMar>
              <w:top w:w="110" w:type="dxa"/>
              <w:bottom w:w="110" w:type="dxa"/>
              <w:left w:w="110" w:type="dxa"/>
              <w:right w:w="110" w:type="dxa"/>
            </w:tcMar>
            <w:shd w:fill="E9EDF2"/>
          </w:tcPr>
          <w:p>
            <w:pPr>
              <w:spacing w:after="0" w:line="340" w:lineRule="exact"/>
            </w:pPr>
            <w:r>
              <w:rPr>
                <w:rFonts w:ascii="Noto Serif CJK SC" w:hAnsi="Noto Serif CJK SC" w:eastAsia="Noto Serif CJK SC"/>
                <w:b/>
                <w:color w:val="000000"/>
                <w:sz w:val="22"/>
              </w:rPr>
              <w:t>核验项目</w:t>
            </w:r>
          </w:p>
        </w:tc>
        <w:tc>
          <w:tcPr>
            <w:tcW w:type="dxa" w:w="3685"/>
            <w:vAlign w:val="center"/>
            <w:tcMar>
              <w:top w:w="110" w:type="dxa"/>
              <w:bottom w:w="110" w:type="dxa"/>
              <w:left w:w="110" w:type="dxa"/>
              <w:right w:w="110" w:type="dxa"/>
            </w:tcMar>
            <w:shd w:fill="E9EDF2"/>
          </w:tcPr>
          <w:p>
            <w:pPr>
              <w:spacing w:after="0" w:line="340" w:lineRule="exact"/>
            </w:pPr>
            <w:r>
              <w:rPr>
                <w:rFonts w:ascii="Noto Serif CJK SC" w:hAnsi="Noto Serif CJK SC" w:eastAsia="Noto Serif CJK SC"/>
                <w:b/>
                <w:color w:val="000000"/>
                <w:sz w:val="22"/>
              </w:rPr>
              <w:t>页面操作路径</w:t>
            </w:r>
          </w:p>
        </w:tc>
        <w:tc>
          <w:tcPr>
            <w:tcW w:type="dxa" w:w="3798"/>
            <w:vAlign w:val="center"/>
            <w:tcMar>
              <w:top w:w="110" w:type="dxa"/>
              <w:bottom w:w="110" w:type="dxa"/>
              <w:left w:w="110" w:type="dxa"/>
              <w:right w:w="110" w:type="dxa"/>
            </w:tcMar>
            <w:shd w:fill="E9EDF2"/>
          </w:tcPr>
          <w:p>
            <w:pPr>
              <w:spacing w:after="0" w:line="340" w:lineRule="exact"/>
            </w:pPr>
            <w:r>
              <w:rPr>
                <w:rFonts w:ascii="Noto Serif CJK SC" w:hAnsi="Noto Serif CJK SC" w:eastAsia="Noto Serif CJK SC"/>
                <w:b/>
                <w:color w:val="000000"/>
                <w:sz w:val="22"/>
              </w:rPr>
              <w:t>核验内容及权限</w:t>
            </w:r>
          </w:p>
        </w:tc>
      </w:tr>
      <w:tr>
        <w:trPr>
          <w:cantSplit/>
        </w:trPr>
        <w:tc>
          <w:tcPr>
            <w:tcW w:type="dxa" w:w="192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首页</w:t>
            </w:r>
          </w:p>
        </w:tc>
        <w:tc>
          <w:tcPr>
            <w:tcW w:type="dxa" w:w="368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网站首页 → 向下滚动</w:t>
            </w:r>
          </w:p>
        </w:tc>
        <w:tc>
          <w:tcPr>
            <w:tcW w:type="dxa" w:w="379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品牌、服务、医生与门店介绍；公开。</w:t>
            </w:r>
          </w:p>
        </w:tc>
      </w:tr>
      <w:tr>
        <w:trPr>
          <w:cantSplit/>
        </w:trPr>
        <w:tc>
          <w:tcPr>
            <w:tcW w:type="dxa" w:w="192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门店列表及医生</w:t>
            </w:r>
          </w:p>
        </w:tc>
        <w:tc>
          <w:tcPr>
            <w:tcW w:type="dxa" w:w="368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首页“预约就诊” → 选择门店 → “选择医生” → 医生卡片</w:t>
            </w:r>
          </w:p>
        </w:tc>
        <w:tc>
          <w:tcPr>
            <w:tcW w:type="dxa" w:w="379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门店地址、营业信息、医生介绍；公开浏览。</w:t>
            </w:r>
          </w:p>
        </w:tc>
      </w:tr>
      <w:tr>
        <w:trPr>
          <w:cantSplit/>
        </w:trPr>
        <w:tc>
          <w:tcPr>
            <w:tcW w:type="dxa" w:w="192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预约时段与确认</w:t>
            </w:r>
          </w:p>
        </w:tc>
        <w:tc>
          <w:tcPr>
            <w:tcW w:type="dxa" w:w="368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医生详情 → 可预约日期及时段 → 预约确认</w:t>
            </w:r>
          </w:p>
        </w:tc>
        <w:tc>
          <w:tcPr>
            <w:tcW w:type="dxa" w:w="379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选择就诊人并核对信息；确认预约需登录，不要求实际提交。</w:t>
            </w:r>
          </w:p>
        </w:tc>
      </w:tr>
      <w:tr>
        <w:trPr>
          <w:cantSplit/>
        </w:trPr>
        <w:tc>
          <w:tcPr>
            <w:tcW w:type="dxa" w:w="192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睡眠评估入口</w:t>
            </w:r>
          </w:p>
        </w:tc>
        <w:tc>
          <w:tcPr>
            <w:tcW w:type="dxa" w:w="368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顶部“睡眠评估”</w:t>
            </w:r>
          </w:p>
        </w:tc>
        <w:tc>
          <w:tcPr>
            <w:tcW w:type="dxa" w:w="379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ESS量表、AI鼾声分析及评估记录入口；公开。</w:t>
            </w:r>
          </w:p>
        </w:tc>
      </w:tr>
      <w:tr>
        <w:trPr>
          <w:cantSplit/>
        </w:trPr>
        <w:tc>
          <w:tcPr>
            <w:tcW w:type="dxa" w:w="192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社区列表及详情</w:t>
            </w:r>
          </w:p>
        </w:tc>
        <w:tc>
          <w:tcPr>
            <w:tcW w:type="dxa" w:w="368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顶部“社区” → 分类或搜索 → 内容卡片或“阅读全文”</w:t>
            </w:r>
          </w:p>
        </w:tc>
        <w:tc>
          <w:tcPr>
            <w:tcW w:type="dxa" w:w="379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内容标题、正文及交流区；公开内容可浏览。</w:t>
            </w:r>
          </w:p>
        </w:tc>
      </w:tr>
      <w:tr>
        <w:trPr>
          <w:cantSplit/>
        </w:trPr>
        <w:tc>
          <w:tcPr>
            <w:tcW w:type="dxa" w:w="192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发布及互动</w:t>
            </w:r>
          </w:p>
        </w:tc>
        <w:tc>
          <w:tcPr>
            <w:tcW w:type="dxa" w:w="368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社区“发布动态”；内容详情中的评论、点赞、收藏、举报等</w:t>
            </w:r>
          </w:p>
        </w:tc>
        <w:tc>
          <w:tcPr>
            <w:tcW w:type="dxa" w:w="379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需登录；可查看表单及入口，不要求提交。</w:t>
            </w:r>
          </w:p>
        </w:tc>
      </w:tr>
      <w:tr>
        <w:trPr>
          <w:cantSplit/>
        </w:trPr>
        <w:tc>
          <w:tcPr>
            <w:tcW w:type="dxa" w:w="192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商城列表及分类</w:t>
            </w:r>
          </w:p>
        </w:tc>
        <w:tc>
          <w:tcPr>
            <w:tcW w:type="dxa" w:w="368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顶部“健康商城” → 类别或搜索</w:t>
            </w:r>
          </w:p>
        </w:tc>
        <w:tc>
          <w:tcPr>
            <w:tcW w:type="dxa" w:w="379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医疗器械、配件耗材、服务套餐等分类；公开。</w:t>
            </w:r>
          </w:p>
        </w:tc>
      </w:tr>
      <w:tr>
        <w:trPr>
          <w:cantSplit/>
        </w:trPr>
        <w:tc>
          <w:tcPr>
            <w:tcW w:type="dxa" w:w="192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商品详情及订单确认</w:t>
            </w:r>
          </w:p>
        </w:tc>
        <w:tc>
          <w:tcPr>
            <w:tcW w:type="dxa" w:w="368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商品卡片 → 商品详情 → “立即购买”</w:t>
            </w:r>
          </w:p>
        </w:tc>
        <w:tc>
          <w:tcPr>
            <w:tcW w:type="dxa" w:w="379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查看商品信息；登录后弹窗核对数量、配送和金额。</w:t>
            </w:r>
          </w:p>
        </w:tc>
      </w:tr>
      <w:tr>
        <w:trPr>
          <w:cantSplit/>
        </w:trPr>
        <w:tc>
          <w:tcPr>
            <w:tcW w:type="dxa" w:w="192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用户协议与隐私政策</w:t>
            </w:r>
          </w:p>
        </w:tc>
        <w:tc>
          <w:tcPr>
            <w:tcW w:type="dxa" w:w="368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任意页面底部 → “用户协议”或“隐私政策”</w:t>
            </w:r>
          </w:p>
        </w:tc>
        <w:tc>
          <w:tcPr>
            <w:tcW w:type="dxa" w:w="379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可公开阅读完整文本，滚动查看各章节。</w:t>
            </w:r>
          </w:p>
        </w:tc>
      </w:tr>
    </w:tbl>
    <w:p>
      <w:pPr>
        <w:spacing w:after="20"/>
      </w:pPr>
    </w:p>
    <w:p>
      <w:pPr>
        <w:widowControl/>
      </w:pPr>
      <w:r>
        <w:rPr>
          <w:rFonts w:ascii="Noto Serif CJK SC" w:hAnsi="Noto Serif CJK SC" w:eastAsia="Noto Serif CJK SC"/>
          <w:b w:val="0"/>
          <w:color w:val="000000"/>
          <w:sz w:val="24"/>
        </w:rPr>
        <w:t>社区发布、预约确认和创建订单均为业务操作。监管核验可停留在表单或弹窗查看，无需产生真实咨询、预约、订单或付款。</w:t>
      </w:r>
    </w:p>
    <w:p>
      <w:r>
        <w:br w:type="page"/>
      </w:r>
    </w:p>
    <w:p>
      <w:pPr>
        <w:pStyle w:val="Heading1"/>
      </w:pPr>
      <w:r>
        <w:t>四 登录后健康记录路径</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28"/>
        <w:gridCol w:w="3685"/>
        <w:gridCol w:w="3798"/>
      </w:tblGrid>
      <w:tr>
        <w:trPr>
          <w:cantSplit/>
          <w:tblHeader/>
        </w:trPr>
        <w:tc>
          <w:tcPr>
            <w:tcW w:type="dxa" w:w="1928"/>
            <w:vAlign w:val="center"/>
            <w:tcMar>
              <w:top w:w="110" w:type="dxa"/>
              <w:bottom w:w="110" w:type="dxa"/>
              <w:left w:w="110" w:type="dxa"/>
              <w:right w:w="110" w:type="dxa"/>
            </w:tcMar>
            <w:shd w:fill="E9EDF2"/>
          </w:tcPr>
          <w:p>
            <w:pPr>
              <w:spacing w:after="0" w:line="340" w:lineRule="exact"/>
            </w:pPr>
            <w:r>
              <w:rPr>
                <w:rFonts w:ascii="Noto Serif CJK SC" w:hAnsi="Noto Serif CJK SC" w:eastAsia="Noto Serif CJK SC"/>
                <w:b/>
                <w:color w:val="000000"/>
                <w:sz w:val="22"/>
              </w:rPr>
              <w:t>核验项目</w:t>
            </w:r>
          </w:p>
        </w:tc>
        <w:tc>
          <w:tcPr>
            <w:tcW w:type="dxa" w:w="3685"/>
            <w:vAlign w:val="center"/>
            <w:tcMar>
              <w:top w:w="110" w:type="dxa"/>
              <w:bottom w:w="110" w:type="dxa"/>
              <w:left w:w="110" w:type="dxa"/>
              <w:right w:w="110" w:type="dxa"/>
            </w:tcMar>
            <w:shd w:fill="E9EDF2"/>
          </w:tcPr>
          <w:p>
            <w:pPr>
              <w:spacing w:after="0" w:line="340" w:lineRule="exact"/>
            </w:pPr>
            <w:r>
              <w:rPr>
                <w:rFonts w:ascii="Noto Serif CJK SC" w:hAnsi="Noto Serif CJK SC" w:eastAsia="Noto Serif CJK SC"/>
                <w:b/>
                <w:color w:val="000000"/>
                <w:sz w:val="22"/>
              </w:rPr>
              <w:t>页面操作路径</w:t>
            </w:r>
          </w:p>
        </w:tc>
        <w:tc>
          <w:tcPr>
            <w:tcW w:type="dxa" w:w="3798"/>
            <w:vAlign w:val="center"/>
            <w:tcMar>
              <w:top w:w="110" w:type="dxa"/>
              <w:bottom w:w="110" w:type="dxa"/>
              <w:left w:w="110" w:type="dxa"/>
              <w:right w:w="110" w:type="dxa"/>
            </w:tcMar>
            <w:shd w:fill="E9EDF2"/>
          </w:tcPr>
          <w:p>
            <w:pPr>
              <w:spacing w:after="0" w:line="340" w:lineRule="exact"/>
            </w:pPr>
            <w:r>
              <w:rPr>
                <w:rFonts w:ascii="Noto Serif CJK SC" w:hAnsi="Noto Serif CJK SC" w:eastAsia="Noto Serif CJK SC"/>
                <w:b/>
                <w:color w:val="000000"/>
                <w:sz w:val="22"/>
              </w:rPr>
              <w:t>主要内容</w:t>
            </w:r>
          </w:p>
        </w:tc>
      </w:tr>
      <w:tr>
        <w:trPr>
          <w:cantSplit/>
        </w:trPr>
        <w:tc>
          <w:tcPr>
            <w:tcW w:type="dxa" w:w="192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ESS量表及报告</w:t>
            </w:r>
          </w:p>
        </w:tc>
        <w:tc>
          <w:tcPr>
            <w:tcW w:type="dxa" w:w="368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睡眠评估 → “开始评估”；个人中心 → “评估记录” → 选记录</w:t>
            </w:r>
          </w:p>
        </w:tc>
        <w:tc>
          <w:tcPr>
            <w:tcW w:type="dxa" w:w="379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8个情景答题；评分、解读、答案回顾及建议。</w:t>
            </w:r>
          </w:p>
        </w:tc>
      </w:tr>
      <w:tr>
        <w:trPr>
          <w:cantSplit/>
        </w:trPr>
        <w:tc>
          <w:tcPr>
            <w:tcW w:type="dxa" w:w="192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AI鼾声分析</w:t>
            </w:r>
          </w:p>
        </w:tc>
        <w:tc>
          <w:tcPr>
            <w:tcW w:type="dxa" w:w="368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睡眠评估 → “开始录音”；评估记录 → AI鼾声分析记录</w:t>
            </w:r>
          </w:p>
        </w:tc>
        <w:tc>
          <w:tcPr>
            <w:tcW w:type="dxa" w:w="379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录音说明、麦克风操作及分析报告。实际录音需浏览器麦克风权限。</w:t>
            </w:r>
          </w:p>
        </w:tc>
      </w:tr>
      <w:tr>
        <w:trPr>
          <w:cantSplit/>
        </w:trPr>
        <w:tc>
          <w:tcPr>
            <w:tcW w:type="dxa" w:w="192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治疗追踪总览</w:t>
            </w:r>
          </w:p>
        </w:tc>
        <w:tc>
          <w:tcPr>
            <w:tcW w:type="dxa" w:w="368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顶部“治疗追踪” → 选择就诊人</w:t>
            </w:r>
          </w:p>
        </w:tc>
        <w:tc>
          <w:tcPr>
            <w:tcW w:type="dxa" w:w="379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当前治疗、佩戴情况、打卡日历和治疗动态。</w:t>
            </w:r>
          </w:p>
        </w:tc>
      </w:tr>
      <w:tr>
        <w:trPr>
          <w:cantSplit/>
        </w:trPr>
        <w:tc>
          <w:tcPr>
            <w:tcW w:type="dxa" w:w="192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佩戴打卡与日历</w:t>
            </w:r>
          </w:p>
        </w:tc>
        <w:tc>
          <w:tcPr>
            <w:tcW w:type="dxa" w:w="368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治疗追踪 → “今日打卡”；打卡日历及月份切换</w:t>
            </w:r>
          </w:p>
        </w:tc>
        <w:tc>
          <w:tcPr>
            <w:tcW w:type="dxa" w:w="379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打卡抽屉、时长、痛感、备注与日历记录。</w:t>
            </w:r>
          </w:p>
        </w:tc>
      </w:tr>
      <w:tr>
        <w:trPr>
          <w:cantSplit/>
        </w:trPr>
        <w:tc>
          <w:tcPr>
            <w:tcW w:type="dxa" w:w="192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睡眠趋势与报告</w:t>
            </w:r>
          </w:p>
        </w:tc>
        <w:tc>
          <w:tcPr>
            <w:tcW w:type="dxa" w:w="368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治疗追踪 → “睡眠趋势”或“睡眠报告”</w:t>
            </w:r>
          </w:p>
        </w:tc>
        <w:tc>
          <w:tcPr>
            <w:tcW w:type="dxa" w:w="379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7天或30天记录、评分、趋势分布和报告建议。</w:t>
            </w:r>
          </w:p>
        </w:tc>
      </w:tr>
      <w:tr>
        <w:trPr>
          <w:cantSplit/>
        </w:trPr>
        <w:tc>
          <w:tcPr>
            <w:tcW w:type="dxa" w:w="192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时间线和医嘱</w:t>
            </w:r>
          </w:p>
        </w:tc>
        <w:tc>
          <w:tcPr>
            <w:tcW w:type="dxa" w:w="368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治疗追踪 → “治疗时间线”或“医嘱建议”</w:t>
            </w:r>
          </w:p>
        </w:tc>
        <w:tc>
          <w:tcPr>
            <w:tcW w:type="dxa" w:w="379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诊疗历程、诊断、治疗方案和医生建议。</w:t>
            </w:r>
          </w:p>
        </w:tc>
      </w:tr>
      <w:tr>
        <w:trPr>
          <w:cantSplit/>
        </w:trPr>
        <w:tc>
          <w:tcPr>
            <w:tcW w:type="dxa" w:w="192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设备调整</w:t>
            </w:r>
          </w:p>
        </w:tc>
        <w:tc>
          <w:tcPr>
            <w:tcW w:type="dxa" w:w="368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治疗追踪 → “设备调整”</w:t>
            </w:r>
          </w:p>
        </w:tc>
        <w:tc>
          <w:tcPr>
            <w:tcW w:type="dxa" w:w="379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设备参数、调节记录及后续安排。</w:t>
            </w:r>
          </w:p>
        </w:tc>
      </w:tr>
      <w:tr>
        <w:trPr>
          <w:cantSplit/>
        </w:trPr>
        <w:tc>
          <w:tcPr>
            <w:tcW w:type="dxa" w:w="192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阻鼾器及设备详情</w:t>
            </w:r>
          </w:p>
        </w:tc>
        <w:tc>
          <w:tcPr>
            <w:tcW w:type="dxa" w:w="368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个人中心 → “阻鼾器管理” → “查看设备”</w:t>
            </w:r>
          </w:p>
        </w:tc>
        <w:tc>
          <w:tcPr>
            <w:tcW w:type="dxa" w:w="379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设备资料、当前参数、调整、维护及反馈记录。</w:t>
            </w:r>
          </w:p>
        </w:tc>
      </w:tr>
      <w:tr>
        <w:trPr>
          <w:cantSplit/>
        </w:trPr>
        <w:tc>
          <w:tcPr>
            <w:tcW w:type="dxa" w:w="192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病历档案</w:t>
            </w:r>
          </w:p>
        </w:tc>
        <w:tc>
          <w:tcPr>
            <w:tcW w:type="dxa" w:w="368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个人中心 → “病历档案” → 选择就诊人</w:t>
            </w:r>
          </w:p>
        </w:tc>
        <w:tc>
          <w:tcPr>
            <w:tcW w:type="dxa" w:w="379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就诊日期、门店、医生、诊断、处方或建议及附件。</w:t>
            </w:r>
          </w:p>
        </w:tc>
      </w:tr>
    </w:tbl>
    <w:p>
      <w:pPr>
        <w:spacing w:after="20"/>
      </w:pPr>
    </w:p>
    <w:p>
      <w:pPr>
        <w:widowControl/>
      </w:pPr>
      <w:r>
        <w:rPr>
          <w:rFonts w:ascii="Noto Serif CJK SC" w:hAnsi="Noto Serif CJK SC" w:eastAsia="Noto Serif CJK SC"/>
          <w:b w:val="0"/>
          <w:color w:val="000000"/>
          <w:sz w:val="24"/>
        </w:rPr>
        <w:t>健康栏目按账号及就诊人权限显示。审核专用账号应配置非真实患者的示例记录，不提供其他患者的病历、身份信息、录音或交易资料。</w:t>
      </w:r>
    </w:p>
    <w:p>
      <w:r>
        <w:br w:type="page"/>
      </w:r>
    </w:p>
    <w:p>
      <w:pPr>
        <w:pStyle w:val="Heading1"/>
      </w:pPr>
      <w:r>
        <w:t>五 个人中心及服务路径</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28"/>
        <w:gridCol w:w="3685"/>
        <w:gridCol w:w="3798"/>
      </w:tblGrid>
      <w:tr>
        <w:trPr>
          <w:cantSplit/>
          <w:tblHeader/>
        </w:trPr>
        <w:tc>
          <w:tcPr>
            <w:tcW w:type="dxa" w:w="1928"/>
            <w:vAlign w:val="center"/>
            <w:tcMar>
              <w:top w:w="110" w:type="dxa"/>
              <w:bottom w:w="110" w:type="dxa"/>
              <w:left w:w="110" w:type="dxa"/>
              <w:right w:w="110" w:type="dxa"/>
            </w:tcMar>
            <w:shd w:fill="E9EDF2"/>
          </w:tcPr>
          <w:p>
            <w:pPr>
              <w:spacing w:after="0" w:line="340" w:lineRule="exact"/>
            </w:pPr>
            <w:r>
              <w:rPr>
                <w:rFonts w:ascii="Noto Serif CJK SC" w:hAnsi="Noto Serif CJK SC" w:eastAsia="Noto Serif CJK SC"/>
                <w:b/>
                <w:color w:val="000000"/>
                <w:sz w:val="22"/>
              </w:rPr>
              <w:t>核验项目</w:t>
            </w:r>
          </w:p>
        </w:tc>
        <w:tc>
          <w:tcPr>
            <w:tcW w:type="dxa" w:w="3685"/>
            <w:vAlign w:val="center"/>
            <w:tcMar>
              <w:top w:w="110" w:type="dxa"/>
              <w:bottom w:w="110" w:type="dxa"/>
              <w:left w:w="110" w:type="dxa"/>
              <w:right w:w="110" w:type="dxa"/>
            </w:tcMar>
            <w:shd w:fill="E9EDF2"/>
          </w:tcPr>
          <w:p>
            <w:pPr>
              <w:spacing w:after="0" w:line="340" w:lineRule="exact"/>
            </w:pPr>
            <w:r>
              <w:rPr>
                <w:rFonts w:ascii="Noto Serif CJK SC" w:hAnsi="Noto Serif CJK SC" w:eastAsia="Noto Serif CJK SC"/>
                <w:b/>
                <w:color w:val="000000"/>
                <w:sz w:val="22"/>
              </w:rPr>
              <w:t>页面操作路径</w:t>
            </w:r>
          </w:p>
        </w:tc>
        <w:tc>
          <w:tcPr>
            <w:tcW w:type="dxa" w:w="3798"/>
            <w:vAlign w:val="center"/>
            <w:tcMar>
              <w:top w:w="110" w:type="dxa"/>
              <w:bottom w:w="110" w:type="dxa"/>
              <w:left w:w="110" w:type="dxa"/>
              <w:right w:w="110" w:type="dxa"/>
            </w:tcMar>
            <w:shd w:fill="E9EDF2"/>
          </w:tcPr>
          <w:p>
            <w:pPr>
              <w:spacing w:after="0" w:line="340" w:lineRule="exact"/>
            </w:pPr>
            <w:r>
              <w:rPr>
                <w:rFonts w:ascii="Noto Serif CJK SC" w:hAnsi="Noto Serif CJK SC" w:eastAsia="Noto Serif CJK SC"/>
                <w:b/>
                <w:color w:val="000000"/>
                <w:sz w:val="22"/>
              </w:rPr>
              <w:t>主要内容</w:t>
            </w:r>
          </w:p>
        </w:tc>
      </w:tr>
      <w:tr>
        <w:trPr>
          <w:cantSplit/>
        </w:trPr>
        <w:tc>
          <w:tcPr>
            <w:tcW w:type="dxa" w:w="192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个人资料</w:t>
            </w:r>
          </w:p>
        </w:tc>
        <w:tc>
          <w:tcPr>
            <w:tcW w:type="dxa" w:w="368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个人中心 → “编辑资料”</w:t>
            </w:r>
          </w:p>
        </w:tc>
        <w:tc>
          <w:tcPr>
            <w:tcW w:type="dxa" w:w="379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头像、昵称、性别、生日等；查看后可返回个人中心。</w:t>
            </w:r>
          </w:p>
        </w:tc>
      </w:tr>
      <w:tr>
        <w:trPr>
          <w:cantSplit/>
        </w:trPr>
        <w:tc>
          <w:tcPr>
            <w:tcW w:type="dxa" w:w="192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就诊人资料</w:t>
            </w:r>
          </w:p>
        </w:tc>
        <w:tc>
          <w:tcPr>
            <w:tcW w:type="dxa" w:w="368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个人中心 → “就诊人管理” → “新增就诊人”或“查看与编辑”</w:t>
            </w:r>
          </w:p>
        </w:tc>
        <w:tc>
          <w:tcPr>
            <w:tcW w:type="dxa" w:w="379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本人及家属资料；本人资料依页面入口查看或编辑。</w:t>
            </w:r>
          </w:p>
        </w:tc>
      </w:tr>
      <w:tr>
        <w:trPr>
          <w:cantSplit/>
        </w:trPr>
        <w:tc>
          <w:tcPr>
            <w:tcW w:type="dxa" w:w="192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我的预约</w:t>
            </w:r>
          </w:p>
        </w:tc>
        <w:tc>
          <w:tcPr>
            <w:tcW w:type="dxa" w:w="368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个人中心 → “我的预约” → “查看详情”</w:t>
            </w:r>
          </w:p>
        </w:tc>
        <w:tc>
          <w:tcPr>
            <w:tcW w:type="dxa" w:w="379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进行中和历史预约、就诊时间、状态、门店及医生。</w:t>
            </w:r>
          </w:p>
        </w:tc>
      </w:tr>
      <w:tr>
        <w:trPr>
          <w:cantSplit/>
        </w:trPr>
        <w:tc>
          <w:tcPr>
            <w:tcW w:type="dxa" w:w="192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我的订单</w:t>
            </w:r>
          </w:p>
        </w:tc>
        <w:tc>
          <w:tcPr>
            <w:tcW w:type="dxa" w:w="368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个人中心 → “我的订单” → “查看详情”</w:t>
            </w:r>
          </w:p>
        </w:tc>
        <w:tc>
          <w:tcPr>
            <w:tcW w:type="dxa" w:w="379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订单状态、商品、配送、金额明细；可查看物流入口。</w:t>
            </w:r>
          </w:p>
        </w:tc>
      </w:tr>
      <w:tr>
        <w:trPr>
          <w:cantSplit/>
        </w:trPr>
        <w:tc>
          <w:tcPr>
            <w:tcW w:type="dxa" w:w="192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会员权益</w:t>
            </w:r>
          </w:p>
        </w:tc>
        <w:tc>
          <w:tcPr>
            <w:tcW w:type="dxa" w:w="368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个人中心 → “会员权益”</w:t>
            </w:r>
          </w:p>
        </w:tc>
        <w:tc>
          <w:tcPr>
            <w:tcW w:type="dxa" w:w="379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当前等级、权益及规则说明。</w:t>
            </w:r>
          </w:p>
        </w:tc>
      </w:tr>
      <w:tr>
        <w:trPr>
          <w:cantSplit/>
        </w:trPr>
        <w:tc>
          <w:tcPr>
            <w:tcW w:type="dxa" w:w="192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消息通知</w:t>
            </w:r>
          </w:p>
        </w:tc>
        <w:tc>
          <w:tcPr>
            <w:tcW w:type="dxa" w:w="368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个人中心 → “消息通知”</w:t>
            </w:r>
          </w:p>
        </w:tc>
        <w:tc>
          <w:tcPr>
            <w:tcW w:type="dxa" w:w="379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通知列表、内容及已读状态。</w:t>
            </w:r>
          </w:p>
        </w:tc>
      </w:tr>
      <w:tr>
        <w:trPr>
          <w:cantSplit/>
        </w:trPr>
        <w:tc>
          <w:tcPr>
            <w:tcW w:type="dxa" w:w="192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在线客服</w:t>
            </w:r>
          </w:p>
        </w:tc>
        <w:tc>
          <w:tcPr>
            <w:tcW w:type="dxa" w:w="368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个人中心 → “在线客服”</w:t>
            </w:r>
          </w:p>
        </w:tc>
        <w:tc>
          <w:tcPr>
            <w:tcW w:type="dxa" w:w="379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咨询内容、图片选择与消息记录；核验无需实际发送。</w:t>
            </w:r>
          </w:p>
        </w:tc>
      </w:tr>
      <w:tr>
        <w:trPr>
          <w:cantSplit/>
        </w:trPr>
        <w:tc>
          <w:tcPr>
            <w:tcW w:type="dxa" w:w="192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账号安全</w:t>
            </w:r>
          </w:p>
        </w:tc>
        <w:tc>
          <w:tcPr>
            <w:tcW w:type="dxa" w:w="368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个人中心 → “账号安全”</w:t>
            </w:r>
          </w:p>
        </w:tc>
        <w:tc>
          <w:tcPr>
            <w:tcW w:type="dxa" w:w="3798"/>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账号信息与修改密码入口；核验过程中无需更改密码。</w:t>
            </w:r>
          </w:p>
        </w:tc>
      </w:tr>
    </w:tbl>
    <w:p>
      <w:pPr>
        <w:spacing w:after="20"/>
      </w:pPr>
    </w:p>
    <w:p>
      <w:pPr>
        <w:pStyle w:val="Heading1"/>
      </w:pPr>
      <w:r>
        <w:t>六 商品与付款核验</w:t>
      </w:r>
    </w:p>
    <w:p>
      <w:pPr>
        <w:widowControl/>
      </w:pPr>
      <w:r>
        <w:rPr>
          <w:rFonts w:ascii="Noto Serif CJK SC" w:hAnsi="Noto Serif CJK SC" w:eastAsia="Noto Serif CJK SC"/>
          <w:b w:val="0"/>
          <w:color w:val="000000"/>
          <w:sz w:val="24"/>
        </w:rPr>
        <w:t>依次打开健康商城、类别和商品详情，查看名称、图片、价格与完整详情。医疗器械信息应与本单位提供的有效产品资料核对；不得使用虚构注册证号或备案编号替代证明。</w:t>
      </w:r>
    </w:p>
    <w:p>
      <w:pPr>
        <w:widowControl/>
      </w:pPr>
      <w:r>
        <w:rPr>
          <w:rFonts w:ascii="Noto Serif CJK SC" w:hAnsi="Noto Serif CJK SC" w:eastAsia="Noto Serif CJK SC"/>
          <w:b w:val="0"/>
          <w:color w:val="000000"/>
          <w:sz w:val="24"/>
        </w:rPr>
        <w:t>点击“立即购买”后，确认订单以弹窗显示。PC端待支付订单提示联系门店完成付款，监管核验不要求完成付款、确认收货、退款或取消真实业务。</w:t>
      </w:r>
    </w:p>
    <w:p>
      <w:r>
        <w:br w:type="page"/>
      </w:r>
    </w:p>
    <w:p>
      <w:pPr>
        <w:pStyle w:val="Heading1"/>
      </w:pPr>
      <w:r>
        <w:t>七 核验账号与异常处理</w:t>
      </w:r>
    </w:p>
    <w:p>
      <w:pPr>
        <w:widowControl/>
      </w:pPr>
      <w:r>
        <w:rPr>
          <w:rFonts w:ascii="Noto Serif CJK SC" w:hAnsi="Noto Serif CJK SC" w:eastAsia="Noto Serif CJK SC"/>
          <w:b w:val="0"/>
          <w:color w:val="000000"/>
          <w:sz w:val="24"/>
        </w:rPr>
        <w:t>审核专用账号仅用于核验，配置覆盖所需栏目和示例记录的用户端权限；不得因此授予后台管理、资金处理或其他患者数据访问权限。核验结束后按受理要求回收或停用账号。</w:t>
      </w:r>
    </w:p>
    <w:p>
      <w:pPr>
        <w:widowControl/>
      </w:pPr>
      <w:r>
        <w:rPr>
          <w:rFonts w:ascii="Noto Serif CJK SC" w:hAnsi="Noto Serif CJK SC" w:eastAsia="Noto Serif CJK SC"/>
          <w:b w:val="0"/>
          <w:color w:val="000000"/>
          <w:sz w:val="24"/>
        </w:rPr>
        <w:t>监管部门如需查看内容来源、发布审核或历史操作记录，本单位由授权人员提供后台辅助核验。单独提供的监管账号应仅具有查询权限，不开放新增、修改、删除、审核、退款或恢复生产数据等操作。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6576"/>
      </w:tblGrid>
      <w:tr>
        <w:trPr>
          <w:cantSplit/>
          <w:tblHeader/>
        </w:trPr>
        <w:tc>
          <w:tcPr>
            <w:tcW w:type="dxa" w:w="2835"/>
            <w:vAlign w:val="center"/>
            <w:tcMar>
              <w:top w:w="110" w:type="dxa"/>
              <w:bottom w:w="110" w:type="dxa"/>
              <w:left w:w="110" w:type="dxa"/>
              <w:right w:w="110" w:type="dxa"/>
            </w:tcMar>
            <w:shd w:fill="E9EDF2"/>
          </w:tcPr>
          <w:p>
            <w:pPr>
              <w:spacing w:after="0" w:line="340" w:lineRule="exact"/>
            </w:pPr>
            <w:r>
              <w:rPr>
                <w:rFonts w:ascii="Noto Serif CJK SC" w:hAnsi="Noto Serif CJK SC" w:eastAsia="Noto Serif CJK SC"/>
                <w:b/>
                <w:color w:val="000000"/>
                <w:sz w:val="22"/>
              </w:rPr>
              <w:t>现象</w:t>
            </w:r>
          </w:p>
        </w:tc>
        <w:tc>
          <w:tcPr>
            <w:tcW w:type="dxa" w:w="6576"/>
            <w:vAlign w:val="center"/>
            <w:tcMar>
              <w:top w:w="110" w:type="dxa"/>
              <w:bottom w:w="110" w:type="dxa"/>
              <w:left w:w="110" w:type="dxa"/>
              <w:right w:w="110" w:type="dxa"/>
            </w:tcMar>
            <w:shd w:fill="E9EDF2"/>
          </w:tcPr>
          <w:p>
            <w:pPr>
              <w:spacing w:after="0" w:line="340" w:lineRule="exact"/>
            </w:pPr>
            <w:r>
              <w:rPr>
                <w:rFonts w:ascii="Noto Serif CJK SC" w:hAnsi="Noto Serif CJK SC" w:eastAsia="Noto Serif CJK SC"/>
                <w:b/>
                <w:color w:val="000000"/>
                <w:sz w:val="22"/>
              </w:rPr>
              <w:t>处理方法</w:t>
            </w:r>
          </w:p>
        </w:tc>
      </w:tr>
      <w:tr>
        <w:trPr>
          <w:cantSplit/>
        </w:trPr>
        <w:tc>
          <w:tcPr>
            <w:tcW w:type="dxa" w:w="283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网页无法打开</w:t>
            </w:r>
          </w:p>
        </w:tc>
        <w:tc>
          <w:tcPr>
            <w:tcW w:type="dxa" w:w="6576"/>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核对访问地址和网络；由技术联系人确认网站服务及访问限制。</w:t>
            </w:r>
          </w:p>
        </w:tc>
      </w:tr>
      <w:tr>
        <w:trPr>
          <w:cantSplit/>
        </w:trPr>
        <w:tc>
          <w:tcPr>
            <w:tcW w:type="dxa" w:w="283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登录失败或过期</w:t>
            </w:r>
          </w:p>
        </w:tc>
        <w:tc>
          <w:tcPr>
            <w:tcW w:type="dxa" w:w="6576"/>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核对账号、有效期及登录方式；联系技术人员重新提供有效账号。</w:t>
            </w:r>
          </w:p>
        </w:tc>
      </w:tr>
      <w:tr>
        <w:trPr>
          <w:cantSplit/>
        </w:trPr>
        <w:tc>
          <w:tcPr>
            <w:tcW w:type="dxa" w:w="283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页面没有记录</w:t>
            </w:r>
          </w:p>
        </w:tc>
        <w:tc>
          <w:tcPr>
            <w:tcW w:type="dxa" w:w="6576"/>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先选择对应示例就诊人；由技术人员核对审核账号的数据和权限。</w:t>
            </w:r>
          </w:p>
        </w:tc>
      </w:tr>
      <w:tr>
        <w:trPr>
          <w:cantSplit/>
        </w:trPr>
        <w:tc>
          <w:tcPr>
            <w:tcW w:type="dxa" w:w="283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录音无法启动</w:t>
            </w:r>
          </w:p>
        </w:tc>
        <w:tc>
          <w:tcPr>
            <w:tcW w:type="dxa" w:w="6576"/>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检查浏览器麦克风授权、设备连接及安全访问环境；可先浏览已有示例报告。</w:t>
            </w:r>
          </w:p>
        </w:tc>
      </w:tr>
      <w:tr>
        <w:trPr>
          <w:cantSplit/>
        </w:trPr>
        <w:tc>
          <w:tcPr>
            <w:tcW w:type="dxa" w:w="283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商品或内容详情打不开</w:t>
            </w:r>
          </w:p>
        </w:tc>
        <w:tc>
          <w:tcPr>
            <w:tcW w:type="dxa" w:w="6576"/>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返回列表重新选择；由技术人员核对内容发布状态及访问权限。</w:t>
            </w:r>
          </w:p>
        </w:tc>
      </w:tr>
      <w:tr>
        <w:trPr>
          <w:cantSplit/>
        </w:trPr>
        <w:tc>
          <w:tcPr>
            <w:tcW w:type="dxa" w:w="2835"/>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需要查阅历史信息</w:t>
            </w:r>
          </w:p>
        </w:tc>
        <w:tc>
          <w:tcPr>
            <w:tcW w:type="dxa" w:w="6576"/>
            <w:vAlign w:val="center"/>
            <w:tcMar>
              <w:top w:w="110" w:type="dxa"/>
              <w:bottom w:w="110" w:type="dxa"/>
              <w:left w:w="110" w:type="dxa"/>
              <w:right w:w="110" w:type="dxa"/>
            </w:tcMar>
          </w:tcPr>
          <w:p>
            <w:pPr>
              <w:spacing w:after="0" w:line="340" w:lineRule="exact"/>
            </w:pPr>
            <w:r>
              <w:rPr>
                <w:rFonts w:ascii="Noto Serif CJK SC" w:hAnsi="Noto Serif CJK SC" w:eastAsia="Noto Serif CJK SC"/>
                <w:b w:val="0"/>
                <w:color w:val="000000"/>
                <w:sz w:val="22"/>
              </w:rPr>
              <w:t>说明标题、对象和时间范围，由授权人员按材料5制度检索并提供。</w:t>
            </w:r>
          </w:p>
        </w:tc>
      </w:tr>
    </w:tbl>
    <w:p>
      <w:pPr>
        <w:spacing w:after="20"/>
      </w:pPr>
    </w:p>
    <w:p>
      <w:pPr>
        <w:widowControl/>
      </w:pPr>
      <w:r>
        <w:rPr>
          <w:rFonts w:ascii="Noto Serif CJK SC" w:hAnsi="Noto Serif CJK SC" w:eastAsia="Noto Serif CJK SC"/>
          <w:b w:val="0"/>
          <w:color w:val="000000"/>
          <w:sz w:val="24"/>
        </w:rPr>
        <w:t>以下截图用于说明PC操作界面，个人记录使用示例数据。公网地址、审核账号及其可访问内容应在提交前由本单位按实际交付信息填写并核验。</w:t>
      </w:r>
    </w:p>
    <w:p>
      <w:pPr>
        <w:widowControl/>
      </w:pPr>
      <w:r>
        <w:rPr>
          <w:rFonts w:ascii="Noto Serif CJK SC" w:hAnsi="Noto Serif CJK SC" w:eastAsia="Noto Serif CJK SC"/>
          <w:b w:val="0"/>
          <w:color w:val="000000"/>
          <w:sz w:val="24"/>
        </w:rPr>
        <w:t>申请单位：深圳兴康明诊所（盖章）</w:t>
      </w:r>
    </w:p>
    <w:p>
      <w:pPr>
        <w:widowControl/>
      </w:pPr>
      <w:r>
        <w:rPr>
          <w:rFonts w:ascii="Noto Serif CJK SC" w:hAnsi="Noto Serif CJK SC" w:eastAsia="Noto Serif CJK SC"/>
          <w:b w:val="0"/>
          <w:color w:val="000000"/>
          <w:sz w:val="24"/>
        </w:rPr>
        <w:t>法定代表人或负责人：林英伟    签字：________________</w:t>
      </w:r>
    </w:p>
    <w:p>
      <w:pPr>
        <w:widowControl/>
      </w:pPr>
      <w:r>
        <w:rPr>
          <w:rFonts w:ascii="Noto Serif CJK SC" w:hAnsi="Noto Serif CJK SC" w:eastAsia="Noto Serif CJK SC"/>
          <w:b w:val="0"/>
          <w:color w:val="000000"/>
          <w:sz w:val="24"/>
        </w:rPr>
        <w:t>日期：________年____月____日</w:t>
      </w:r>
    </w:p>
    <w:p>
      <w:r>
        <w:br w:type="page"/>
      </w:r>
    </w:p>
    <w:p>
      <w:pPr>
        <w:pStyle w:val="Heading1"/>
      </w:pPr>
      <w:r>
        <w:t>八 登录界面</w:t>
      </w:r>
    </w:p>
    <w:p>
      <w:pPr>
        <w:widowControl/>
      </w:pPr>
      <w:r>
        <w:rPr>
          <w:rFonts w:ascii="Noto Serif CJK SC" w:hAnsi="Noto Serif CJK SC" w:eastAsia="Noto Serif CJK SC"/>
          <w:b w:val="0"/>
          <w:color w:val="000000"/>
          <w:sz w:val="24"/>
        </w:rPr>
        <w:t>操作路径：网站右上角“登录”</w:t>
      </w:r>
    </w:p>
    <w:p>
      <w:pPr>
        <w:widowControl/>
      </w:pPr>
      <w:r>
        <w:rPr>
          <w:rFonts w:ascii="Noto Serif CJK SC" w:hAnsi="Noto Serif CJK SC" w:eastAsia="Noto Serif CJK SC"/>
          <w:b w:val="0"/>
          <w:color w:val="000000"/>
          <w:sz w:val="24"/>
        </w:rPr>
        <w:t>使用审核专用账号提供的登录方式。密码不在本说明公开列示，由联系人按指定方式交付。</w:t>
      </w:r>
    </w:p>
    <w:p>
      <w:pPr>
        <w:spacing w:after="100" w:line="240" w:lineRule="auto"/>
        <w:jc w:val="center"/>
      </w:pPr>
      <w:r>
        <w:drawing>
          <wp:inline xmlns:a="http://schemas.openxmlformats.org/drawingml/2006/main" xmlns:pic="http://schemas.openxmlformats.org/drawingml/2006/picture">
            <wp:extent cx="5976000" cy="4201875"/>
            <wp:docPr id="1" name="Picture 1" descr="八 登录界面 PC网站界面截图"/>
            <wp:cNvGraphicFramePr>
              <a:graphicFrameLocks noChangeAspect="1"/>
            </wp:cNvGraphicFramePr>
            <a:graphic>
              <a:graphicData uri="http://schemas.openxmlformats.org/drawingml/2006/picture">
                <pic:pic>
                  <pic:nvPicPr>
                    <pic:cNvPr id="0" name="02-login.png"/>
                    <pic:cNvPicPr/>
                  </pic:nvPicPr>
                  <pic:blipFill>
                    <a:blip r:embed="rId10"/>
                    <a:stretch>
                      <a:fillRect/>
                    </a:stretch>
                  </pic:blipFill>
                  <pic:spPr>
                    <a:xfrm>
                      <a:off x="0" y="0"/>
                      <a:ext cx="5976000" cy="4201875"/>
                    </a:xfrm>
                    <a:prstGeom prst="rect"/>
                  </pic:spPr>
                </pic:pic>
              </a:graphicData>
            </a:graphic>
          </wp:inline>
        </w:drawing>
      </w:r>
    </w:p>
    <w:p>
      <w:pPr>
        <w:pStyle w:val="Caption"/>
        <w:keepNext w:val="0"/>
      </w:pPr>
      <w:r>
        <w:rPr>
          <w:rFonts w:ascii="Noto Serif CJK SC" w:hAnsi="Noto Serif CJK SC" w:eastAsia="Noto Serif CJK SC"/>
          <w:b w:val="0"/>
          <w:color w:val="000000"/>
          <w:sz w:val="20"/>
        </w:rPr>
        <w:t>PC网站实际界面截图。截图展示当前可见内容，完整页面可向下滚动查看。</w:t>
      </w:r>
    </w:p>
    <w:p>
      <w:r>
        <w:br w:type="page"/>
      </w:r>
    </w:p>
    <w:p>
      <w:pPr>
        <w:pStyle w:val="Heading1"/>
      </w:pPr>
      <w:r>
        <w:t>九 评估记录与报告</w:t>
      </w:r>
    </w:p>
    <w:p>
      <w:pPr>
        <w:widowControl/>
      </w:pPr>
      <w:r>
        <w:rPr>
          <w:rFonts w:ascii="Noto Serif CJK SC" w:hAnsi="Noto Serif CJK SC" w:eastAsia="Noto Serif CJK SC"/>
          <w:b w:val="0"/>
          <w:color w:val="000000"/>
          <w:sz w:val="24"/>
        </w:rPr>
        <w:t>操作路径：个人中心 → “评估记录” → 选择ESS记录</w:t>
      </w:r>
    </w:p>
    <w:p>
      <w:pPr>
        <w:widowControl/>
      </w:pPr>
      <w:r>
        <w:rPr>
          <w:rFonts w:ascii="Noto Serif CJK SC" w:hAnsi="Noto Serif CJK SC" w:eastAsia="Noto Serif CJK SC"/>
          <w:b w:val="0"/>
          <w:color w:val="000000"/>
          <w:sz w:val="24"/>
        </w:rPr>
        <w:t>核对报告日期、总分及分级解读，向下滚动查看答案回顾和评估建议。示例总分为5分，不代表真实患者筛查结果。</w:t>
      </w:r>
    </w:p>
    <w:p>
      <w:pPr>
        <w:spacing w:after="100" w:line="240" w:lineRule="auto"/>
        <w:jc w:val="center"/>
      </w:pPr>
      <w:r>
        <w:drawing>
          <wp:inline xmlns:a="http://schemas.openxmlformats.org/drawingml/2006/main" xmlns:pic="http://schemas.openxmlformats.org/drawingml/2006/picture">
            <wp:extent cx="5976000" cy="4201875"/>
            <wp:docPr id="2" name="Picture 2" descr="九 评估记录与报告 PC网站界面截图"/>
            <wp:cNvGraphicFramePr>
              <a:graphicFrameLocks noChangeAspect="1"/>
            </wp:cNvGraphicFramePr>
            <a:graphic>
              <a:graphicData uri="http://schemas.openxmlformats.org/drawingml/2006/picture">
                <pic:pic>
                  <pic:nvPicPr>
                    <pic:cNvPr id="0" name="13-report.png"/>
                    <pic:cNvPicPr/>
                  </pic:nvPicPr>
                  <pic:blipFill>
                    <a:blip r:embed="rId11"/>
                    <a:stretch>
                      <a:fillRect/>
                    </a:stretch>
                  </pic:blipFill>
                  <pic:spPr>
                    <a:xfrm>
                      <a:off x="0" y="0"/>
                      <a:ext cx="5976000" cy="4201875"/>
                    </a:xfrm>
                    <a:prstGeom prst="rect"/>
                  </pic:spPr>
                </pic:pic>
              </a:graphicData>
            </a:graphic>
          </wp:inline>
        </w:drawing>
      </w:r>
    </w:p>
    <w:p>
      <w:pPr>
        <w:pStyle w:val="Caption"/>
        <w:keepNext w:val="0"/>
      </w:pPr>
      <w:r>
        <w:rPr>
          <w:rFonts w:ascii="Noto Serif CJK SC" w:hAnsi="Noto Serif CJK SC" w:eastAsia="Noto Serif CJK SC"/>
          <w:b w:val="0"/>
          <w:color w:val="000000"/>
          <w:sz w:val="20"/>
        </w:rPr>
        <w:t>界面示例。图中就诊人、评估、诊疗或订单记录为功能演示数据，不对应真实患者或真实交易。</w:t>
      </w:r>
    </w:p>
    <w:p>
      <w:r>
        <w:br w:type="page"/>
      </w:r>
    </w:p>
    <w:p>
      <w:pPr>
        <w:pStyle w:val="Heading1"/>
      </w:pPr>
      <w:r>
        <w:t>十 治疗追踪界面</w:t>
      </w:r>
    </w:p>
    <w:p>
      <w:pPr>
        <w:widowControl/>
      </w:pPr>
      <w:r>
        <w:rPr>
          <w:rFonts w:ascii="Noto Serif CJK SC" w:hAnsi="Noto Serif CJK SC" w:eastAsia="Noto Serif CJK SC"/>
          <w:b w:val="0"/>
          <w:color w:val="000000"/>
          <w:sz w:val="24"/>
        </w:rPr>
        <w:t>操作路径：顶部“治疗追踪” → 选择就诊人</w:t>
      </w:r>
    </w:p>
    <w:p>
      <w:pPr>
        <w:widowControl/>
      </w:pPr>
      <w:r>
        <w:rPr>
          <w:rFonts w:ascii="Noto Serif CJK SC" w:hAnsi="Noto Serif CJK SC" w:eastAsia="Noto Serif CJK SC"/>
          <w:b w:val="0"/>
          <w:color w:val="000000"/>
          <w:sz w:val="24"/>
        </w:rPr>
        <w:t>查看当前治疗、佩戴情况及治疗动态；向下滚动可继续进入睡眠报告、医嘱、时间线等功能。</w:t>
      </w:r>
    </w:p>
    <w:p>
      <w:pPr>
        <w:spacing w:after="100" w:line="240" w:lineRule="auto"/>
        <w:jc w:val="center"/>
      </w:pPr>
      <w:r>
        <w:drawing>
          <wp:inline xmlns:a="http://schemas.openxmlformats.org/drawingml/2006/main" xmlns:pic="http://schemas.openxmlformats.org/drawingml/2006/picture">
            <wp:extent cx="5976000" cy="4201875"/>
            <wp:docPr id="3" name="Picture 3" descr="十 治疗追踪界面 PC网站界面截图"/>
            <wp:cNvGraphicFramePr>
              <a:graphicFrameLocks noChangeAspect="1"/>
            </wp:cNvGraphicFramePr>
            <a:graphic>
              <a:graphicData uri="http://schemas.openxmlformats.org/drawingml/2006/picture">
                <pic:pic>
                  <pic:nvPicPr>
                    <pic:cNvPr id="0" name="15-treatment.png"/>
                    <pic:cNvPicPr/>
                  </pic:nvPicPr>
                  <pic:blipFill>
                    <a:blip r:embed="rId12"/>
                    <a:stretch>
                      <a:fillRect/>
                    </a:stretch>
                  </pic:blipFill>
                  <pic:spPr>
                    <a:xfrm>
                      <a:off x="0" y="0"/>
                      <a:ext cx="5976000" cy="4201875"/>
                    </a:xfrm>
                    <a:prstGeom prst="rect"/>
                  </pic:spPr>
                </pic:pic>
              </a:graphicData>
            </a:graphic>
          </wp:inline>
        </w:drawing>
      </w:r>
    </w:p>
    <w:p>
      <w:pPr>
        <w:pStyle w:val="Caption"/>
        <w:keepNext w:val="0"/>
      </w:pPr>
      <w:r>
        <w:rPr>
          <w:rFonts w:ascii="Noto Serif CJK SC" w:hAnsi="Noto Serif CJK SC" w:eastAsia="Noto Serif CJK SC"/>
          <w:b w:val="0"/>
          <w:color w:val="000000"/>
          <w:sz w:val="20"/>
        </w:rPr>
        <w:t>界面示例。图中就诊人、评估、诊疗或订单记录为功能演示数据，不对应真实患者或真实交易。</w:t>
      </w:r>
    </w:p>
    <w:p>
      <w:r>
        <w:br w:type="page"/>
      </w:r>
    </w:p>
    <w:p>
      <w:pPr>
        <w:pStyle w:val="Heading1"/>
      </w:pPr>
      <w:r>
        <w:t>十一 医嘱建议界面</w:t>
      </w:r>
    </w:p>
    <w:p>
      <w:pPr>
        <w:widowControl/>
      </w:pPr>
      <w:r>
        <w:rPr>
          <w:rFonts w:ascii="Noto Serif CJK SC" w:hAnsi="Noto Serif CJK SC" w:eastAsia="Noto Serif CJK SC"/>
          <w:b w:val="0"/>
          <w:color w:val="000000"/>
          <w:sz w:val="24"/>
        </w:rPr>
        <w:t>操作路径：治疗追踪 → “医嘱建议”</w:t>
      </w:r>
    </w:p>
    <w:p>
      <w:pPr>
        <w:widowControl/>
      </w:pPr>
      <w:r>
        <w:rPr>
          <w:rFonts w:ascii="Noto Serif CJK SC" w:hAnsi="Noto Serif CJK SC" w:eastAsia="Noto Serif CJK SC"/>
          <w:b w:val="0"/>
          <w:color w:val="000000"/>
          <w:sz w:val="24"/>
        </w:rPr>
        <w:t>分区查看诊断、治疗方案与医生建议。示例内容只说明栏目结构，不用于任何人的实际治疗。</w:t>
      </w:r>
    </w:p>
    <w:p>
      <w:pPr>
        <w:spacing w:after="100" w:line="240" w:lineRule="auto"/>
        <w:jc w:val="center"/>
      </w:pPr>
      <w:r>
        <w:drawing>
          <wp:inline xmlns:a="http://schemas.openxmlformats.org/drawingml/2006/main" xmlns:pic="http://schemas.openxmlformats.org/drawingml/2006/picture">
            <wp:extent cx="5976000" cy="4201875"/>
            <wp:docPr id="4" name="Picture 4" descr="十一 医嘱建议界面 PC网站界面截图"/>
            <wp:cNvGraphicFramePr>
              <a:graphicFrameLocks noChangeAspect="1"/>
            </wp:cNvGraphicFramePr>
            <a:graphic>
              <a:graphicData uri="http://schemas.openxmlformats.org/drawingml/2006/picture">
                <pic:pic>
                  <pic:nvPicPr>
                    <pic:cNvPr id="0" name="18-advice.png"/>
                    <pic:cNvPicPr/>
                  </pic:nvPicPr>
                  <pic:blipFill>
                    <a:blip r:embed="rId13"/>
                    <a:stretch>
                      <a:fillRect/>
                    </a:stretch>
                  </pic:blipFill>
                  <pic:spPr>
                    <a:xfrm>
                      <a:off x="0" y="0"/>
                      <a:ext cx="5976000" cy="4201875"/>
                    </a:xfrm>
                    <a:prstGeom prst="rect"/>
                  </pic:spPr>
                </pic:pic>
              </a:graphicData>
            </a:graphic>
          </wp:inline>
        </w:drawing>
      </w:r>
    </w:p>
    <w:p>
      <w:pPr>
        <w:pStyle w:val="Caption"/>
        <w:keepNext w:val="0"/>
      </w:pPr>
      <w:r>
        <w:rPr>
          <w:rFonts w:ascii="Noto Serif CJK SC" w:hAnsi="Noto Serif CJK SC" w:eastAsia="Noto Serif CJK SC"/>
          <w:b w:val="0"/>
          <w:color w:val="000000"/>
          <w:sz w:val="20"/>
        </w:rPr>
        <w:t>界面示例。图中就诊人、评估、诊疗或订单记录为功能演示数据，不对应真实患者或真实交易。</w:t>
      </w:r>
    </w:p>
    <w:p>
      <w:r>
        <w:br w:type="page"/>
      </w:r>
    </w:p>
    <w:p>
      <w:pPr>
        <w:pStyle w:val="Heading1"/>
      </w:pPr>
      <w:r>
        <w:t>十二 病历档案界面</w:t>
      </w:r>
    </w:p>
    <w:p>
      <w:pPr>
        <w:widowControl/>
      </w:pPr>
      <w:r>
        <w:rPr>
          <w:rFonts w:ascii="Noto Serif CJK SC" w:hAnsi="Noto Serif CJK SC" w:eastAsia="Noto Serif CJK SC"/>
          <w:b w:val="0"/>
          <w:color w:val="000000"/>
          <w:sz w:val="24"/>
        </w:rPr>
        <w:t>操作路径：个人中心 → “病历档案” → 选择就诊人</w:t>
      </w:r>
    </w:p>
    <w:p>
      <w:pPr>
        <w:widowControl/>
      </w:pPr>
      <w:r>
        <w:rPr>
          <w:rFonts w:ascii="Noto Serif CJK SC" w:hAnsi="Noto Serif CJK SC" w:eastAsia="Noto Serif CJK SC"/>
          <w:b w:val="0"/>
          <w:color w:val="000000"/>
          <w:sz w:val="24"/>
        </w:rPr>
        <w:t>查看历次就诊资料及附件入口。核验时无需上传个人证件、病历或其他敏感资料。</w:t>
      </w:r>
    </w:p>
    <w:p>
      <w:pPr>
        <w:spacing w:after="100" w:line="240" w:lineRule="auto"/>
        <w:jc w:val="center"/>
      </w:pPr>
      <w:r>
        <w:drawing>
          <wp:inline xmlns:a="http://schemas.openxmlformats.org/drawingml/2006/main" xmlns:pic="http://schemas.openxmlformats.org/drawingml/2006/picture">
            <wp:extent cx="5976000" cy="4201875"/>
            <wp:docPr id="5" name="Picture 5" descr="十二 病历档案界面 PC网站界面截图"/>
            <wp:cNvGraphicFramePr>
              <a:graphicFrameLocks noChangeAspect="1"/>
            </wp:cNvGraphicFramePr>
            <a:graphic>
              <a:graphicData uri="http://schemas.openxmlformats.org/drawingml/2006/picture">
                <pic:pic>
                  <pic:nvPicPr>
                    <pic:cNvPr id="0" name="21-medical.png"/>
                    <pic:cNvPicPr/>
                  </pic:nvPicPr>
                  <pic:blipFill>
                    <a:blip r:embed="rId14"/>
                    <a:stretch>
                      <a:fillRect/>
                    </a:stretch>
                  </pic:blipFill>
                  <pic:spPr>
                    <a:xfrm>
                      <a:off x="0" y="0"/>
                      <a:ext cx="5976000" cy="4201875"/>
                    </a:xfrm>
                    <a:prstGeom prst="rect"/>
                  </pic:spPr>
                </pic:pic>
              </a:graphicData>
            </a:graphic>
          </wp:inline>
        </w:drawing>
      </w:r>
    </w:p>
    <w:p>
      <w:pPr>
        <w:pStyle w:val="Caption"/>
        <w:keepNext w:val="0"/>
      </w:pPr>
      <w:r>
        <w:rPr>
          <w:rFonts w:ascii="Noto Serif CJK SC" w:hAnsi="Noto Serif CJK SC" w:eastAsia="Noto Serif CJK SC"/>
          <w:b w:val="0"/>
          <w:color w:val="000000"/>
          <w:sz w:val="20"/>
        </w:rPr>
        <w:t>界面示例。图中就诊人、评估、诊疗或订单记录为功能演示数据，不对应真实患者或真实交易。</w:t>
      </w:r>
    </w:p>
    <w:p>
      <w:r>
        <w:br w:type="page"/>
      </w:r>
    </w:p>
    <w:p>
      <w:pPr>
        <w:pStyle w:val="Heading1"/>
      </w:pPr>
      <w:r>
        <w:t>十三 确认订单弹窗</w:t>
      </w:r>
    </w:p>
    <w:p>
      <w:pPr>
        <w:widowControl/>
      </w:pPr>
      <w:r>
        <w:rPr>
          <w:rFonts w:ascii="Noto Serif CJK SC" w:hAnsi="Noto Serif CJK SC" w:eastAsia="Noto Serif CJK SC"/>
          <w:b w:val="0"/>
          <w:color w:val="000000"/>
          <w:sz w:val="24"/>
        </w:rPr>
        <w:t>操作路径：健康商城 → 商品详情 → “立即购买”</w:t>
      </w:r>
    </w:p>
    <w:p>
      <w:pPr>
        <w:widowControl/>
      </w:pPr>
      <w:r>
        <w:rPr>
          <w:rFonts w:ascii="Noto Serif CJK SC" w:hAnsi="Noto Serif CJK SC" w:eastAsia="Noto Serif CJK SC"/>
          <w:b w:val="0"/>
          <w:color w:val="000000"/>
          <w:sz w:val="24"/>
        </w:rPr>
        <w:t>确认订单在当前页面弹窗内展示。核对商品、数量、配送方式和联系信息后，可关闭弹窗返回商品页，无需点击“创建订单”。</w:t>
      </w:r>
    </w:p>
    <w:p>
      <w:pPr>
        <w:spacing w:after="100" w:line="240" w:lineRule="auto"/>
        <w:jc w:val="center"/>
      </w:pPr>
      <w:r>
        <w:drawing>
          <wp:inline xmlns:a="http://schemas.openxmlformats.org/drawingml/2006/main" xmlns:pic="http://schemas.openxmlformats.org/drawingml/2006/picture">
            <wp:extent cx="5976000" cy="4201875"/>
            <wp:docPr id="6" name="Picture 6" descr="十三 确认订单弹窗 PC网站界面截图"/>
            <wp:cNvGraphicFramePr>
              <a:graphicFrameLocks noChangeAspect="1"/>
            </wp:cNvGraphicFramePr>
            <a:graphic>
              <a:graphicData uri="http://schemas.openxmlformats.org/drawingml/2006/picture">
                <pic:pic>
                  <pic:nvPicPr>
                    <pic:cNvPr id="0" name="30-checkout.png"/>
                    <pic:cNvPicPr/>
                  </pic:nvPicPr>
                  <pic:blipFill>
                    <a:blip r:embed="rId15"/>
                    <a:stretch>
                      <a:fillRect/>
                    </a:stretch>
                  </pic:blipFill>
                  <pic:spPr>
                    <a:xfrm>
                      <a:off x="0" y="0"/>
                      <a:ext cx="5976000" cy="4201875"/>
                    </a:xfrm>
                    <a:prstGeom prst="rect"/>
                  </pic:spPr>
                </pic:pic>
              </a:graphicData>
            </a:graphic>
          </wp:inline>
        </w:drawing>
      </w:r>
    </w:p>
    <w:p>
      <w:pPr>
        <w:pStyle w:val="Caption"/>
        <w:keepNext w:val="0"/>
      </w:pPr>
      <w:r>
        <w:rPr>
          <w:rFonts w:ascii="Noto Serif CJK SC" w:hAnsi="Noto Serif CJK SC" w:eastAsia="Noto Serif CJK SC"/>
          <w:b w:val="0"/>
          <w:color w:val="000000"/>
          <w:sz w:val="20"/>
        </w:rPr>
        <w:t>界面示例。图中就诊人、评估、诊疗或订单记录为功能演示数据，不对应真实患者或真实交易。</w:t>
      </w:r>
    </w:p>
    <w:p>
      <w:r>
        <w:br w:type="page"/>
      </w:r>
    </w:p>
    <w:p>
      <w:pPr>
        <w:pStyle w:val="Heading1"/>
      </w:pPr>
      <w:r>
        <w:t>十四 订单详情界面</w:t>
      </w:r>
    </w:p>
    <w:p>
      <w:pPr>
        <w:widowControl/>
      </w:pPr>
      <w:r>
        <w:rPr>
          <w:rFonts w:ascii="Noto Serif CJK SC" w:hAnsi="Noto Serif CJK SC" w:eastAsia="Noto Serif CJK SC"/>
          <w:b w:val="0"/>
          <w:color w:val="000000"/>
          <w:sz w:val="24"/>
        </w:rPr>
        <w:t>操作路径：个人中心 → “我的订单” → “查看详情”</w:t>
      </w:r>
    </w:p>
    <w:p>
      <w:pPr>
        <w:widowControl/>
      </w:pPr>
      <w:r>
        <w:rPr>
          <w:rFonts w:ascii="Noto Serif CJK SC" w:hAnsi="Noto Serif CJK SC" w:eastAsia="Noto Serif CJK SC"/>
          <w:b w:val="0"/>
          <w:color w:val="000000"/>
          <w:sz w:val="24"/>
        </w:rPr>
        <w:t>查看订单状态、商品、配送与金额明细。图中为待支付示例，页面提示联系门店付款；不作为真实交易凭证。</w:t>
      </w:r>
    </w:p>
    <w:p>
      <w:pPr>
        <w:spacing w:after="100" w:line="240" w:lineRule="auto"/>
        <w:jc w:val="center"/>
      </w:pPr>
      <w:r>
        <w:drawing>
          <wp:inline xmlns:a="http://schemas.openxmlformats.org/drawingml/2006/main" xmlns:pic="http://schemas.openxmlformats.org/drawingml/2006/picture">
            <wp:extent cx="5976000" cy="4201875"/>
            <wp:docPr id="7" name="Picture 7" descr="十四 订单详情界面 PC网站界面截图"/>
            <wp:cNvGraphicFramePr>
              <a:graphicFrameLocks noChangeAspect="1"/>
            </wp:cNvGraphicFramePr>
            <a:graphic>
              <a:graphicData uri="http://schemas.openxmlformats.org/drawingml/2006/picture">
                <pic:pic>
                  <pic:nvPicPr>
                    <pic:cNvPr id="0" name="25-order.png"/>
                    <pic:cNvPicPr/>
                  </pic:nvPicPr>
                  <pic:blipFill>
                    <a:blip r:embed="rId16"/>
                    <a:stretch>
                      <a:fillRect/>
                    </a:stretch>
                  </pic:blipFill>
                  <pic:spPr>
                    <a:xfrm>
                      <a:off x="0" y="0"/>
                      <a:ext cx="5976000" cy="4201875"/>
                    </a:xfrm>
                    <a:prstGeom prst="rect"/>
                  </pic:spPr>
                </pic:pic>
              </a:graphicData>
            </a:graphic>
          </wp:inline>
        </w:drawing>
      </w:r>
    </w:p>
    <w:p>
      <w:pPr>
        <w:pStyle w:val="Caption"/>
        <w:keepNext w:val="0"/>
      </w:pPr>
      <w:r>
        <w:rPr>
          <w:rFonts w:ascii="Noto Serif CJK SC" w:hAnsi="Noto Serif CJK SC" w:eastAsia="Noto Serif CJK SC"/>
          <w:b w:val="0"/>
          <w:color w:val="000000"/>
          <w:sz w:val="20"/>
        </w:rPr>
        <w:t>界面示例。图中就诊人、评估、诊疗或订单记录为功能演示数据，不对应真实患者或真实交易。</w:t>
      </w:r>
    </w:p>
    <w:sectPr w:rsidR="00FC693F" w:rsidRPr="0006063C" w:rsidSect="00034616">
      <w:footerReference w:type="default" r:id="rId9"/>
      <w:pgSz w:w="11906" w:h="16838"/>
      <w:pgMar w:top="1134" w:right="1247" w:bottom="1020" w:left="1247" w:header="720"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b w:val="0"/>
        <w:color w:val="000000"/>
        <w:sz w:val="18"/>
      </w:rPr>
      <w:t xml:space="preserve">第 </w:t>
    </w:r>
    <w:fldSimple w:instr="PAGE"/>
    <w:r>
      <w:rPr>
        <w:rFonts w:ascii="Noto Serif CJK SC" w:hAnsi="Noto Serif CJK SC" w:eastAsia="Noto Serif CJK SC"/>
        <w:b w:val="0"/>
        <w:color w:val="00000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72" w:lineRule="exact"/>
      <w:snapToGrid w:val="0"/>
    </w:pPr>
    <w:rPr>
      <w:rFonts w:ascii="Noto Serif CJK SC" w:hAnsi="Noto Serif CJK SC"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465" w:lineRule="exact"/>
      <w:outlineLvl w:val="0"/>
      <w:snapToGrid w:val="0"/>
    </w:pPr>
    <w:rPr>
      <w:rFonts w:asciiTheme="majorHAnsi" w:eastAsiaTheme="majorEastAsia" w:hAnsiTheme="majorHAnsi" w:cstheme="majorBidi" w:ascii="Noto Serif CJK SC" w:hAnsi="Noto Serif CJK SC" w:eastAsia="Noto Serif CJK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403" w:lineRule="exact"/>
      <w:outlineLvl w:val="1"/>
      <w:snapToGrid w:val="0"/>
    </w:pPr>
    <w:rPr>
      <w:rFonts w:asciiTheme="majorHAnsi" w:eastAsiaTheme="majorEastAsia" w:hAnsiTheme="majorHAnsi" w:cstheme="majorBidi" w:ascii="Noto Serif CJK SC" w:hAnsi="Noto Serif CJK SC" w:eastAsia="Noto Serif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682" w:lineRule="exact"/>
      <w:contextualSpacing/>
      <w:snapToGrid w:val="0"/>
    </w:pPr>
    <w:rPr>
      <w:rFonts w:asciiTheme="majorHAnsi" w:eastAsiaTheme="majorEastAsia" w:hAnsiTheme="majorHAnsi" w:cstheme="majorBidi" w:ascii="Noto Serif CJK SC" w:hAnsi="Noto Serif CJK SC" w:eastAsia="Noto Serif CJK S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10" w:lineRule="exact" w:after="140"/>
      <w:snapToGrid w:val="0"/>
    </w:pPr>
    <w:rPr>
      <w:rFonts w:ascii="Noto Serif CJK SC" w:hAnsi="Noto Serif CJK SC" w:eastAsia="Noto Serif CJK SC"/>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监管部门在线浏览网站全部栏目内容的方法及操作说明</dc:title>
  <dc:subject>PC网站备案材料</dc:subject>
  <dc:creator>深圳兴康明诊所</dc:creator>
  <cp:keywords/>
  <dc:description/>
  <cp:lastModifiedBy/>
  <cp:revision>1</cp:revision>
  <dcterms:created xsi:type="dcterms:W3CDTF">2013-12-23T23:15:00Z</dcterms:created>
  <dcterms:modified xsi:type="dcterms:W3CDTF">2013-12-23T23:15:00Z</dcterms:modified>
  <cp:category/>
</cp:coreProperties>
</file>