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10454" w:val="right"/>
        </w:tabs>
        <w:spacing w:after="440" w:before="0" w:line="600" w:lineRule="atLeast"/>
      </w:pPr>
      <w:r>
        <w:drawing>
          <wp:inline xmlns:a="http://schemas.openxmlformats.org/drawingml/2006/main" xmlns:pic="http://schemas.openxmlformats.org/drawingml/2006/picture">
            <wp:extent cx="1508760" cy="328706"/>
            <wp:docPr id="1" name="Picture 1" descr="Easner logo"/>
            <wp:cNvGraphicFramePr>
              <a:graphicFrameLocks noChangeAspect="1"/>
            </wp:cNvGraphicFramePr>
            <a:graphic>
              <a:graphicData uri="http://schemas.openxmlformats.org/drawingml/2006/picture">
                <pic:pic>
                  <pic:nvPicPr>
                    <pic:cNvPr id="0" name="easner-logo.png"/>
                    <pic:cNvPicPr/>
                  </pic:nvPicPr>
                  <pic:blipFill>
                    <a:blip r:embed="rId10"/>
                    <a:stretch>
                      <a:fillRect/>
                    </a:stretch>
                  </pic:blipFill>
                  <pic:spPr>
                    <a:xfrm>
                      <a:off x="0" y="0"/>
                      <a:ext cx="1508760" cy="328706"/>
                    </a:xfrm>
                    <a:prstGeom prst="rect"/>
                  </pic:spPr>
                </pic:pic>
              </a:graphicData>
            </a:graphic>
          </wp:inline>
        </w:drawing>
      </w:r>
      <w:r>
        <w:rPr>
          <w:b w:val="0"/>
          <w:color w:val="0A2540"/>
          <w:sz w:val="17"/>
        </w:rPr>
        <w:tab/>
        <w:t>COMPANY OVERVIEW</w:t>
      </w:r>
    </w:p>
    <w:p>
      <w:pPr>
        <w:pStyle w:val="Title"/>
        <w:spacing w:after="240" w:before="0"/>
      </w:pPr>
      <w:r>
        <w:t>Stablecoin native</w:t>
        <w:br/>
        <w:t>banking and payments</w:t>
      </w:r>
    </w:p>
    <w:p>
      <w:pPr>
        <w:spacing w:after="400" w:before="0" w:line="340" w:lineRule="exact"/>
      </w:pPr>
      <w:r>
        <w:rPr>
          <w:sz w:val="24"/>
        </w:rPr>
        <w:t>Easner connects businesses across the Global South and Global North to the US dollar through stablecoin native banking. Built on blockchain, our platform unifies accounts, collections, and global payouts, reducing the need for separate financial workflows in each market.</w:t>
      </w:r>
    </w:p>
    <w:p>
      <w:pPr>
        <w:tabs>
          <w:tab w:pos="5472" w:val="left"/>
        </w:tabs>
        <w:spacing w:after="40" w:before="0" w:line="600" w:lineRule="exact"/>
      </w:pPr>
      <w:r>
        <w:rPr>
          <w:b/>
          <w:color w:val="007ACC"/>
          <w:sz w:val="50"/>
        </w:rPr>
        <w:t>US dollar access</w:t>
      </w:r>
      <w:r>
        <w:rPr>
          <w:b/>
          <w:color w:val="0A2540"/>
          <w:sz w:val="40"/>
        </w:rPr>
        <w:tab/>
        <w:t>80+ payout destinations</w:t>
      </w:r>
    </w:p>
    <w:p>
      <w:pPr>
        <w:tabs>
          <w:tab w:pos="5472" w:val="left"/>
        </w:tabs>
        <w:spacing w:after="400" w:before="0"/>
      </w:pPr>
      <w:r>
        <w:rPr>
          <w:b w:val="0"/>
          <w:color w:val="52616D"/>
          <w:sz w:val="19"/>
        </w:rPr>
        <w:t>For businesses operating globally</w:t>
        <w:tab/>
        <w:t>Pay suppliers, teams, and partners</w:t>
      </w:r>
    </w:p>
    <w:p>
      <w:pPr>
        <w:spacing w:after="340" w:before="0"/>
      </w:pPr>
      <w:r>
        <w:rPr>
          <w:b/>
          <w:color w:val="0A2540"/>
          <w:sz w:val="21"/>
        </w:rPr>
        <w:t xml:space="preserve">Built for </w:t>
      </w:r>
      <w:r>
        <w:rPr>
          <w:b w:val="0"/>
          <w:color w:val="263442"/>
          <w:sz w:val="21"/>
        </w:rPr>
        <w:t>individuals, international businesses, global employers, marketplaces, payroll platforms, and fintechs.</w:t>
      </w:r>
    </w:p>
    <w:p>
      <w:pPr>
        <w:spacing w:line="20" w:lineRule="exact" w:after="0" w:before="0"/>
        <w:sectPr>
          <w:headerReference w:type="default" r:id="rId9"/>
          <w:pgSz w:w="12240" w:h="15840"/>
          <w:pgMar w:top="749" w:right="893" w:bottom="691" w:left="893" w:header="288" w:footer="288" w:gutter="0"/>
          <w:cols w:space="720"/>
          <w:docGrid w:linePitch="360"/>
        </w:sectPr>
      </w:pPr>
      <w:r>
        <w:rPr>
          <w:sz w:val="2"/>
        </w:rPr>
      </w:r>
    </w:p>
    <w:p>
      <w:pPr>
        <w:pStyle w:val="Heading1"/>
        <w:spacing w:after="0" w:before="0"/>
      </w:pPr>
      <w:r>
        <w:t>Business banking and payments</w:t>
      </w:r>
    </w:p>
    <w:p>
      <w:pPr>
        <w:spacing w:after="340" w:before="0"/>
      </w:pPr>
      <w:r>
        <w:t>Hold USD, EUR, and GBP balances. Collect revenue with Invoicing, Checkout, and Payment Links, including invoices payable in supported stablecoins. Pay suppliers and run Payroll for employees and contractors, with recurring payment workflows, team access, approvals, and payment records in one dashboard.</w:t>
      </w:r>
    </w:p>
    <w:p>
      <w:pPr>
        <w:pStyle w:val="Heading1"/>
        <w:spacing w:after="0" w:before="0"/>
      </w:pPr>
      <w:r>
        <w:t>Personal banking</w:t>
      </w:r>
    </w:p>
    <w:p>
      <w:pPr>
        <w:spacing w:after="0" w:before="0"/>
      </w:pPr>
      <w:r>
        <w:t>Hold USD, EUR, and GBP balances, receive payments, and send money worldwide. Manage everyday finances through the Easner app or on desktop.</w:t>
      </w:r>
    </w:p>
    <w:p>
      <w:pPr>
        <w:spacing w:after="0" w:before="0" w:line="20" w:lineRule="exact"/>
      </w:pPr>
      <w:r>
        <w:br w:type="column"/>
      </w:r>
    </w:p>
    <w:p>
      <w:pPr>
        <w:pStyle w:val="Heading1"/>
        <w:spacing w:after="0" w:before="0"/>
      </w:pPr>
      <w:r>
        <w:t>Infrastructure for partners</w:t>
      </w:r>
    </w:p>
    <w:p>
      <w:pPr>
        <w:spacing w:after="650" w:before="0"/>
      </w:pPr>
      <w:r>
        <w:t>Use Easner directly for business banking, embed accounts and payments in your software, or launch a branded payment experience. APIs connect verification, collections, payouts, and webhooks, supported by commercial onboarding and operational support.</w:t>
      </w:r>
    </w:p>
    <w:p>
      <w:pPr>
        <w:pStyle w:val="Heading1"/>
        <w:spacing w:after="0" w:before="0"/>
      </w:pPr>
      <w:r>
        <w:t>Blockchain at the core</w:t>
      </w:r>
    </w:p>
    <w:p>
      <w:pPr>
        <w:spacing w:after="0" w:before="0"/>
      </w:pPr>
      <w:r>
        <w:t>Blockchain and stablecoins power Easner. Send and receive supported stablecoins directly, or use familiar account and payment flows. Stablecoin settlement connects US, EU, and UK payment infrastructure to local payouts worldwide.</w:t>
      </w:r>
    </w:p>
    <w:p>
      <w:pPr>
        <w:spacing w:line="20" w:lineRule="exact" w:after="0" w:before="0"/>
        <w:sectPr>
          <w:type w:val="continuous"/>
          <w:pgSz w:w="12240" w:h="15840"/>
          <w:pgMar w:top="749" w:right="893" w:bottom="691" w:left="893" w:header="288" w:footer="288" w:gutter="0"/>
          <w:cols w:space="460" w:num="2"/>
          <w:docGrid w:linePitch="360"/>
        </w:sectPr>
      </w:pPr>
      <w:r>
        <w:rPr>
          <w:sz w:val="2"/>
        </w:rPr>
      </w:r>
    </w:p>
    <w:p>
      <w:pPr>
        <w:spacing w:after="100" w:before="520"/>
      </w:pPr>
      <w:r>
        <w:rPr>
          <w:b/>
          <w:color w:val="0A2540"/>
          <w:sz w:val="26"/>
        </w:rPr>
        <w:t>Discuss your payment flows and partnership opportunities</w:t>
      </w:r>
    </w:p>
    <w:p>
      <w:pPr>
        <w:spacing w:after="300" w:before="0"/>
      </w:pPr>
      <w:hyperlink r:id="rId11">
        <w:r>
          <w:rPr>
            <w:color w:val="007ACC"/>
            <w:sz w:val="22"/>
            <w:b/>
          </w:rPr>
          <w:t>easner.com</w:t>
        </w:r>
      </w:hyperlink>
      <w:r>
        <w:rPr>
          <w:b w:val="0"/>
          <w:color w:val="869199"/>
          <w:sz w:val="22"/>
        </w:rPr>
        <w:t xml:space="preserve">   /   </w:t>
      </w:r>
      <w:hyperlink r:id="rId12">
        <w:r>
          <w:rPr>
            <w:color w:val="007ACC"/>
            <w:sz w:val="22"/>
          </w:rPr>
          <w:t>Explore Easner Business</w:t>
        </w:r>
      </w:hyperlink>
      <w:r>
        <w:rPr>
          <w:b w:val="0"/>
          <w:color w:val="869199"/>
          <w:sz w:val="22"/>
        </w:rPr>
        <w:t xml:space="preserve">   /   </w:t>
      </w:r>
      <w:hyperlink r:id="rId13">
        <w:r>
          <w:rPr>
            <w:color w:val="007ACC"/>
            <w:sz w:val="22"/>
          </w:rPr>
          <w:t>Talk to our team</w:t>
        </w:r>
      </w:hyperlink>
    </w:p>
    <w:p>
      <w:pPr>
        <w:spacing w:after="0" w:before="0" w:line="230" w:lineRule="exact"/>
      </w:pPr>
      <w:r>
        <w:rPr>
          <w:color w:val="61707B"/>
          <w:sz w:val="17"/>
        </w:rPr>
        <w:t>Easner is a financial technology company, not a bank. Banking and payment services are provided by licensed partners. Account and product availability depend on verification, jurisdiction, approval, and partner rules. Payout coverage does not determine account eligibility.</w:t>
      </w:r>
    </w:p>
    <w:sectPr w:rsidR="00FC693F" w:rsidRPr="0006063C" w:rsidSect="00034616">
      <w:type w:val="continuous"/>
      <w:pgSz w:w="12240" w:h="15840"/>
      <w:pgMar w:top="749" w:right="893" w:bottom="691" w:left="893" w:header="288" w:footer="288" w:gutter="0"/>
      <w:cols w:space="4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ict>
        <v:rect id="EasnerPaper" o:allowincell="f" style="position:absolute;margin-left:0;margin-top:0;width:612pt;height:792pt;z-index:-251654144;mso-position-horizontal-relative:page;mso-position-vertical-relative:page" fillcolor="#F6F3EB" stroked="f">
          <v:fill color="#F6F3EB"/>
        </v:rect>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10" w:lineRule="exact"/>
    </w:pPr>
    <w:rPr>
      <w:rFonts w:ascii="Arial" w:hAnsi="Arial"/>
      <w:color w:val="26344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line="340" w:lineRule="exact"/>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0" w:line="780" w:lineRule="exact" w:before="0"/>
      <w:contextualSpacing/>
    </w:pPr>
    <w:rPr>
      <w:rFonts w:asciiTheme="majorHAnsi" w:eastAsiaTheme="majorEastAsia" w:hAnsiTheme="majorHAnsi" w:cstheme="majorBidi" w:ascii="Arial" w:hAnsi="Arial"/>
      <w:b/>
      <w:color w:val="000000"/>
      <w:spacing w:val="5"/>
      <w:kern w:val="28"/>
      <w:sz w:val="7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0" w:before="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hyperlink" Target="https://www.easner.com/" TargetMode="External"/><Relationship Id="rId12" Type="http://schemas.openxmlformats.org/officeDocument/2006/relationships/hyperlink" Target="https://www.easner.com/business" TargetMode="External"/><Relationship Id="rId13" Type="http://schemas.openxmlformats.org/officeDocument/2006/relationships/hyperlink" Target="https://www.easner.com/conta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Easner Company Overview</dc:title>
  <dc:subject>Stablecoin native banking and payments built on blockchain</dc:subject>
  <dc:creator>Easner</dc:creator>
  <cp:keywords>Easner, stablecoin native, blockchain, US dollar, banking, global payments</cp:keywords>
  <dc:description/>
  <cp:lastModifiedBy/>
  <cp:revision>1</cp:revision>
  <dcterms:created xsi:type="dcterms:W3CDTF">2013-12-23T23:15:00Z</dcterms:created>
  <dcterms:modified xsi:type="dcterms:W3CDTF">2013-12-23T23:15:00Z</dcterms:modified>
  <cp:category/>
</cp:coreProperties>
</file>