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454" w:val="right"/>
        </w:tabs>
        <w:spacing w:after="440" w:before="0" w:line="600" w:lineRule="atLeast"/>
      </w:pPr>
      <w:r>
        <w:drawing>
          <wp:inline xmlns:a="http://schemas.openxmlformats.org/drawingml/2006/main" xmlns:pic="http://schemas.openxmlformats.org/drawingml/2006/picture">
            <wp:extent cx="1508760" cy="328706"/>
            <wp:docPr id="1" name="Picture 1" descr="Easner logo"/>
            <wp:cNvGraphicFramePr>
              <a:graphicFrameLocks noChangeAspect="1"/>
            </wp:cNvGraphicFramePr>
            <a:graphic>
              <a:graphicData uri="http://schemas.openxmlformats.org/drawingml/2006/picture">
                <pic:pic>
                  <pic:nvPicPr>
                    <pic:cNvPr id="0" name="easner-logo.png"/>
                    <pic:cNvPicPr/>
                  </pic:nvPicPr>
                  <pic:blipFill>
                    <a:blip r:embed="rId10"/>
                    <a:stretch>
                      <a:fillRect/>
                    </a:stretch>
                  </pic:blipFill>
                  <pic:spPr>
                    <a:xfrm>
                      <a:off x="0" y="0"/>
                      <a:ext cx="1508760" cy="328706"/>
                    </a:xfrm>
                    <a:prstGeom prst="rect"/>
                  </pic:spPr>
                </pic:pic>
              </a:graphicData>
            </a:graphic>
          </wp:inline>
        </w:drawing>
      </w:r>
      <w:r>
        <w:rPr>
          <w:b w:val="0"/>
          <w:color w:val="0A2540"/>
          <w:sz w:val="17"/>
        </w:rPr>
        <w:tab/>
        <w:t>COMPANY OVERVIEW</w:t>
      </w:r>
    </w:p>
    <w:p>
      <w:pPr>
        <w:pStyle w:val="Title"/>
        <w:spacing w:after="240" w:before="0"/>
      </w:pPr>
      <w:r>
        <w:t>Personal and business</w:t>
        <w:br/>
        <w:t>banking across borders</w:t>
      </w:r>
    </w:p>
    <w:p>
      <w:pPr>
        <w:spacing w:after="400" w:before="0" w:line="340" w:lineRule="exact"/>
      </w:pPr>
      <w:r>
        <w:rPr>
          <w:sz w:val="24"/>
        </w:rPr>
        <w:t>Easner brings everyday finances and global payments together. Individuals can manage money at home and abroad, businesses can collect revenue and pay their teams, and partners can build financial products on the same platform.</w:t>
      </w:r>
    </w:p>
    <w:p>
      <w:pPr>
        <w:tabs>
          <w:tab w:pos="3053" w:val="left"/>
        </w:tabs>
        <w:spacing w:after="40" w:before="0" w:line="600" w:lineRule="exact"/>
      </w:pPr>
      <w:r>
        <w:rPr>
          <w:b/>
          <w:color w:val="007ACC"/>
          <w:sz w:val="58"/>
        </w:rPr>
        <w:t>80+</w:t>
      </w:r>
      <w:r>
        <w:rPr>
          <w:b/>
          <w:color w:val="0A2540"/>
          <w:sz w:val="42"/>
        </w:rPr>
        <w:tab/>
        <w:t>USD  EUR  GBP  NGN</w:t>
      </w:r>
    </w:p>
    <w:p>
      <w:pPr>
        <w:tabs>
          <w:tab w:pos="3053" w:val="left"/>
        </w:tabs>
        <w:spacing w:after="400" w:before="0"/>
      </w:pPr>
      <w:r>
        <w:rPr>
          <w:b w:val="0"/>
          <w:color w:val="52616D"/>
          <w:sz w:val="16"/>
        </w:rPr>
        <w:t>PAYOUT DESTINATIONS</w:t>
        <w:tab/>
        <w:t>ACCOUNT BALANCE CURRENCIES</w:t>
      </w:r>
    </w:p>
    <w:p>
      <w:pPr>
        <w:spacing w:line="20" w:lineRule="exact" w:after="0" w:before="0"/>
        <w:sectPr>
          <w:headerReference w:type="default" r:id="rId9"/>
          <w:pgSz w:w="12240" w:h="15840"/>
          <w:pgMar w:top="749" w:right="893" w:bottom="691" w:left="893" w:header="288" w:footer="288" w:gutter="0"/>
          <w:cols w:space="720"/>
          <w:docGrid w:linePitch="360"/>
        </w:sectPr>
      </w:pPr>
      <w:r>
        <w:rPr>
          <w:sz w:val="2"/>
        </w:rPr>
      </w:r>
    </w:p>
    <w:p>
      <w:pPr>
        <w:pStyle w:val="Heading1"/>
        <w:spacing w:after="0" w:before="0"/>
      </w:pPr>
      <w:r>
        <w:t>Personal banking</w:t>
      </w:r>
    </w:p>
    <w:p>
      <w:pPr>
        <w:spacing w:after="650" w:before="0"/>
      </w:pPr>
      <w:r>
        <w:t>Hold multiple currencies, receive payments, and send money to people and businesses in the US and around the world. Manage everyday finances through the Easner app or on desktop.</w:t>
      </w:r>
    </w:p>
    <w:p>
      <w:pPr>
        <w:pStyle w:val="Heading1"/>
        <w:spacing w:after="0" w:before="0"/>
      </w:pPr>
      <w:r>
        <w:t>Business banking and payments</w:t>
      </w:r>
    </w:p>
    <w:p>
      <w:pPr>
        <w:spacing w:after="0" w:before="0"/>
      </w:pPr>
      <w:r>
        <w:t>Bring accounts, collections, and payouts into one dashboard. Get paid through Invoicing, Checkout, and Payment Links. Pay suppliers, employees, and contractors, with team access, approvals, and payment records.</w:t>
      </w:r>
    </w:p>
    <w:p>
      <w:pPr>
        <w:spacing w:after="0" w:before="0" w:line="20" w:lineRule="exact"/>
      </w:pPr>
      <w:r>
        <w:br w:type="column"/>
      </w:r>
    </w:p>
    <w:p>
      <w:pPr>
        <w:pStyle w:val="Heading1"/>
        <w:spacing w:after="0" w:before="0"/>
      </w:pPr>
      <w:r>
        <w:t>Global payments made practical</w:t>
      </w:r>
    </w:p>
    <w:p>
      <w:pPr>
        <w:spacing w:after="340" w:before="0"/>
      </w:pPr>
      <w:r>
        <w:t>Easner connects US, EU, and UK payment infrastructure to local payouts worldwide. Stablecoin settlement runs behind the scenes, so customers can send dollars and recipients receive local currency without managing a crypto wallet.</w:t>
      </w:r>
    </w:p>
    <w:p>
      <w:pPr>
        <w:pStyle w:val="Heading1"/>
        <w:spacing w:after="0" w:before="0"/>
      </w:pPr>
      <w:r>
        <w:t>Infrastructure for partners</w:t>
      </w:r>
    </w:p>
    <w:p>
      <w:pPr>
        <w:spacing w:after="0" w:before="0"/>
      </w:pPr>
      <w:r>
        <w:t>Launch branded financial programs or embed accounts and payments through Easner APIs. Build with verification, collections, payouts, and webhooks, supported by commercial onboarding and operational support.</w:t>
      </w:r>
    </w:p>
    <w:p>
      <w:pPr>
        <w:spacing w:line="20" w:lineRule="exact" w:after="0" w:before="0"/>
        <w:sectPr>
          <w:type w:val="continuous"/>
          <w:pgSz w:w="12240" w:h="15840"/>
          <w:pgMar w:top="749" w:right="893" w:bottom="691" w:left="893" w:header="288" w:footer="288" w:gutter="0"/>
          <w:cols w:space="460" w:num="2"/>
          <w:docGrid w:linePitch="360"/>
        </w:sectPr>
      </w:pPr>
      <w:r>
        <w:rPr>
          <w:sz w:val="2"/>
        </w:rPr>
      </w:r>
    </w:p>
    <w:p>
      <w:pPr>
        <w:spacing w:after="100" w:before="520"/>
      </w:pPr>
      <w:r>
        <w:rPr>
          <w:b/>
          <w:color w:val="0A2540"/>
          <w:sz w:val="26"/>
        </w:rPr>
        <w:t>Explore Easner</w:t>
      </w:r>
    </w:p>
    <w:p>
      <w:pPr>
        <w:spacing w:after="300" w:before="0"/>
      </w:pPr>
      <w:hyperlink r:id="rId11">
        <w:r>
          <w:rPr>
            <w:color w:val="007ACC"/>
            <w:sz w:val="22"/>
            <w:b/>
          </w:rPr>
          <w:t>easner.com</w:t>
        </w:r>
      </w:hyperlink>
      <w:r>
        <w:rPr>
          <w:b w:val="0"/>
          <w:color w:val="869199"/>
          <w:sz w:val="22"/>
        </w:rPr>
        <w:t xml:space="preserve">   /   </w:t>
      </w:r>
      <w:hyperlink r:id="rId12">
        <w:r>
          <w:rPr>
            <w:color w:val="007ACC"/>
            <w:sz w:val="22"/>
          </w:rPr>
          <w:t>Get the app</w:t>
        </w:r>
      </w:hyperlink>
      <w:r>
        <w:rPr>
          <w:b w:val="0"/>
          <w:color w:val="869199"/>
          <w:sz w:val="22"/>
        </w:rPr>
        <w:t xml:space="preserve">   /   </w:t>
      </w:r>
      <w:hyperlink r:id="rId13">
        <w:r>
          <w:rPr>
            <w:color w:val="007ACC"/>
            <w:sz w:val="22"/>
          </w:rPr>
          <w:t>Talk to our team</w:t>
        </w:r>
      </w:hyperlink>
    </w:p>
    <w:p>
      <w:pPr>
        <w:spacing w:after="0" w:before="0" w:line="230" w:lineRule="exact"/>
      </w:pPr>
      <w:r>
        <w:rPr>
          <w:color w:val="61707B"/>
          <w:sz w:val="17"/>
        </w:rPr>
        <w:t>Easner is a financial technology company, not a bank. Banking and payment services are provided by licensed partners. Account and product availability depend on verification, jurisdiction, approval, and partner rules. Payout coverage does not determine account eligibility. Fees and exchange rates are shown before transfer confirmation; payment timing varies.</w:t>
      </w:r>
    </w:p>
    <w:sectPr w:rsidR="00FC693F" w:rsidRPr="0006063C" w:rsidSect="00034616">
      <w:type w:val="continuous"/>
      <w:pgSz w:w="12240" w:h="15840"/>
      <w:pgMar w:top="749" w:right="893" w:bottom="691" w:left="893" w:header="288" w:footer="288" w:gutter="0"/>
      <w:cols w:space="4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EasnerPaper" o:allowincell="f" style="position:absolute;margin-left:0;margin-top:0;width:612pt;height:792pt;z-index:-251654144;mso-position-horizontal-relative:page;mso-position-vertical-relative:page" fillcolor="#F6F3EB" stroked="f">
          <v:fill color="#F6F3EB"/>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10" w:lineRule="exact"/>
    </w:pPr>
    <w:rPr>
      <w:rFonts w:ascii="Arial" w:hAnsi="Arial"/>
      <w:color w:val="2634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40" w:lineRule="exact"/>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780" w:lineRule="exact" w:before="0"/>
      <w:contextualSpacing/>
    </w:pPr>
    <w:rPr>
      <w:rFonts w:asciiTheme="majorHAnsi" w:eastAsiaTheme="majorEastAsia" w:hAnsiTheme="majorHAnsi" w:cstheme="majorBidi" w:ascii="Arial" w:hAnsi="Arial"/>
      <w:b/>
      <w:color w:val="000000"/>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0" w:before="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hyperlink" Target="https://www.easner.com/" TargetMode="External"/><Relationship Id="rId12" Type="http://schemas.openxmlformats.org/officeDocument/2006/relationships/hyperlink" Target="https://www.easner.com/app" TargetMode="External"/><Relationship Id="rId13" Type="http://schemas.openxmlformats.org/officeDocument/2006/relationships/hyperlink" Target="https://www.easner.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Easner Company Overview</dc:title>
  <dc:subject>Personal and business banking and global payments</dc:subject>
  <dc:creator>Easner</dc:creator>
  <cp:keywords>Easner, personal banking, business banking, global payments</cp:keywords>
  <dc:description/>
  <cp:lastModifiedBy/>
  <cp:revision>1</cp:revision>
  <dcterms:created xsi:type="dcterms:W3CDTF">2013-12-23T23:15:00Z</dcterms:created>
  <dcterms:modified xsi:type="dcterms:W3CDTF">2013-12-23T23:15:00Z</dcterms:modified>
  <cp:category/>
</cp:coreProperties>
</file>