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40"/>
        <w:jc w:val="center"/>
      </w:pPr>
      <w:r>
        <w:rPr>
          <w:rFonts w:ascii="Montserrat" w:cs="Montserrat" w:eastAsia="Montserrat" w:hAnsi="Montserrat"/>
          <w:b/>
          <w:bCs/>
          <w:color w:val="E64C38"/>
          <w:sz w:val="56"/>
          <w:szCs w:val="56"/>
        </w:rPr>
        <w:t xml:space="preserve">Enyrgy</w:t>
      </w:r>
    </w:p>
    <w:p>
      <w:pPr>
        <w:spacing w:after="240"/>
        <w:jc w:val="center"/>
      </w:pPr>
      <w:r>
        <w:rPr>
          <w:rFonts w:ascii="Montserrat" w:cs="Montserrat" w:eastAsia="Montserrat" w:hAnsi="Montserrat"/>
          <w:b/>
          <w:bCs/>
          <w:color w:val="1A1A1A"/>
          <w:sz w:val="56"/>
          <w:szCs w:val="56"/>
        </w:rPr>
        <w:t xml:space="preserve">Knowledge Base</w:t>
      </w:r>
    </w:p>
    <w:p>
      <w:pPr>
        <w:pBdr>
          <w:bottom w:val="single" w:color="E64C38" w:sz="12"/>
        </w:pBdr>
        <w:spacing w:after="240"/>
        <w:jc w:val="center"/>
      </w:pPr>
      <w:r>
        <w:rPr>
          <w:rFonts w:ascii="Montserrat" w:cs="Montserrat" w:eastAsia="Montserrat" w:hAnsi="Montserrat"/>
        </w:rPr>
        <w:t xml:space="preserve"/>
      </w:r>
    </w:p>
    <w:p>
      <w:pPr>
        <w:spacing w:after="60"/>
        <w:jc w:val="center"/>
      </w:pPr>
      <w:r>
        <w:rPr>
          <w:rFonts w:ascii="Montserrat" w:cs="Montserrat" w:eastAsia="Montserrat" w:hAnsi="Montserrat"/>
          <w:color w:val="1A1A1A"/>
          <w:sz w:val="24"/>
          <w:szCs w:val="24"/>
        </w:rPr>
        <w:t xml:space="preserve">The shared source of truth for every Paperclip agent</w:t>
      </w:r>
    </w:p>
    <w:p>
      <w:pPr>
        <w:spacing w:after="60"/>
        <w:jc w:val="center"/>
      </w:pPr>
      <w:r>
        <w:rPr>
          <w:rFonts w:ascii="Montserrat" w:cs="Montserrat" w:eastAsia="Montserrat" w:hAnsi="Montserrat"/>
          <w:color w:val="6B6B66"/>
          <w:sz w:val="22"/>
          <w:szCs w:val="22"/>
        </w:rPr>
        <w:t xml:space="preserve">No agent invents a number, claim, policy, price, or date</w:t>
      </w:r>
    </w:p>
    <w:p>
      <w:pPr>
        <w:spacing w:after="40" w:before="1800"/>
        <w:jc w:val="center"/>
      </w:pPr>
      <w:r>
        <w:rPr>
          <w:rFonts w:ascii="Montserrat" w:cs="Montserrat" w:eastAsia="Montserrat" w:hAnsi="Montserrat"/>
          <w:i/>
          <w:iCs/>
          <w:color w:val="6B6B66"/>
          <w:sz w:val="22"/>
          <w:szCs w:val="22"/>
        </w:rPr>
        <w:t xml:space="preserve">Sunlight. Evolved.</w:t>
      </w:r>
    </w:p>
    <w:p>
      <w:pPr>
        <w:jc w:val="center"/>
      </w:pPr>
      <w:r>
        <w:rPr>
          <w:rFonts w:ascii="Montserrat" w:cs="Montserrat" w:eastAsia="Montserrat" w:hAnsi="Montserrat"/>
          <w:color w:val="6B6B66"/>
          <w:sz w:val="18"/>
          <w:szCs w:val="18"/>
        </w:rPr>
        <w:t xml:space="preserve">CONFIDENTIAL - Enyrgy Inc - Sub-account GtXjla7Ld1dordsTWrVy</w:t>
      </w:r>
    </w:p>
    <w:p>
      <w:r>
        <w:br w:type="page"/>
      </w:r>
    </w:p>
    <w:p>
      <w:pPr>
        <w:sectPr>
          <w:pgSz w:w="12240" w:h="15840" w:orient="portrait"/>
          <w:pgMar w:top="1440" w:right="1440" w:bottom="1440" w:left="1440" w:header="708" w:footer="708" w:gutter="0"/>
          <w:pgNumType/>
          <w:docGrid w:linePitch="360"/>
        </w:sectPr>
      </w:pPr>
    </w:p>
    <w:p>
      <w:pPr>
        <w:spacing w:after="120" w:line="276"/>
      </w:pPr>
      <w:r>
        <w:rPr>
          <w:rFonts w:ascii="Montserrat" w:cs="Montserrat" w:eastAsia="Montserrat" w:hAnsi="Montserrat"/>
          <w:b/>
          <w:bCs/>
          <w:color w:val="1A1A1A"/>
          <w:sz w:val="21"/>
          <w:szCs w:val="21"/>
        </w:rPr>
        <w:t xml:space="preserve">The single source of truth every Enyrgy Paperclip agent reads facts from. No agent may invent a number, claim, policy, price, or date. If a fact is not in here, escalate to the KB Manager rather than guess.</w:t>
      </w:r>
      <w:r>
        <w:rPr>
          <w:rFonts w:ascii="Montserrat" w:cs="Montserrat" w:eastAsia="Montserrat" w:hAnsi="Montserrat"/>
          <w:b w:val="false"/>
          <w:bCs w:val="false"/>
          <w:color w:val="1A1A1A"/>
          <w:sz w:val="21"/>
          <w:szCs w:val="21"/>
        </w:rPr>
        <w:t xml:space="preserve"> Grounded in Implementation Guide v3.9 (Sections 1, 14, 15, 17 to 19, 22) with the Session 8 claim correction applied. Sub-account: GtXjla7Ld1dordsTWrVy.</w:t>
      </w:r>
    </w:p>
    <w:p>
      <w:pPr>
        <w:spacing w:after="120" w:line="276"/>
      </w:pPr>
      <w:r>
        <w:rPr>
          <w:rFonts w:ascii="Montserrat" w:cs="Montserrat" w:eastAsia="Montserrat" w:hAnsi="Montserrat"/>
          <w:b w:val="false"/>
          <w:bCs w:val="false"/>
          <w:color w:val="1A1A1A"/>
          <w:sz w:val="21"/>
          <w:szCs w:val="21"/>
        </w:rPr>
        <w:t xml:space="preserve">No em-dashes anywhere. Peer-to-peer voice. Sunlight. Evolved.</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1. Company snapshot</w:t>
      </w:r>
    </w:p>
    <w:p>
      <w:pPr>
        <w:spacing w:after="120" w:line="276"/>
      </w:pPr>
      <w:r>
        <w:rPr>
          <w:rFonts w:ascii="Montserrat" w:cs="Montserrat" w:eastAsia="Montserrat" w:hAnsi="Montserrat"/>
          <w:b w:val="false"/>
          <w:bCs w:val="false"/>
          <w:color w:val="1A1A1A"/>
          <w:sz w:val="21"/>
          <w:szCs w:val="21"/>
        </w:rP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Customers: 600+ (organic growth, zero paid advertising to date).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Treatments completed: 25,000+ (zero burns, zero adverse events).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Return rate: under 1 percent (industry average 5 to 10 percent).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Countries with inbound demand: 5 (USA, UK, Canada, France, New Zealand).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Red light co-use: 90 percent of customers also use red light therapy.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Facility: 5115 N 27th Ave, Bld 66, Phoenix, AZ 85017. Made in USA (relocated from Scottsdale).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Founders and team: Scott Hansbury (CEO and Co-Founder), David Letourneau (President and Co-Founder), Brian Cameron (CFO).</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Active OEM partner: Lumanova (Luma D Light).</w:t>
      </w:r>
    </w:p>
    <w:p>
      <w:pPr>
        <w:pStyle w:val="Heading2"/>
        <w:spacing w:after="120" w:before="240"/>
      </w:pPr>
      <w:r>
        <w:rPr>
          <w:rFonts w:ascii="Montserrat" w:cs="Montserrat" w:eastAsia="Montserrat" w:hAnsi="Montserrat"/>
          <w:b/>
          <w:bCs/>
          <w:color w:val="E64C38"/>
          <w:sz w:val="25"/>
          <w:szCs w:val="25"/>
        </w:rPr>
        <w:t xml:space="preserve">2. Product: the Triple-Pathway Advantage</w:t>
      </w:r>
    </w:p>
    <w:p>
      <w:pPr>
        <w:spacing w:after="120" w:line="276"/>
      </w:pPr>
      <w:r>
        <w:rPr>
          <w:rFonts w:ascii="Montserrat" w:cs="Montserrat" w:eastAsia="Montserrat" w:hAnsi="Montserrat"/>
          <w:b w:val="false"/>
          <w:bCs w:val="false"/>
          <w:color w:val="1A1A1A"/>
          <w:sz w:val="21"/>
          <w:szCs w:val="21"/>
        </w:rPr>
        <w:t xml:space="preserve">Product name on first reference: </w:t>
      </w:r>
      <w:r>
        <w:rPr>
          <w:rFonts w:ascii="Montserrat" w:cs="Montserrat" w:eastAsia="Montserrat" w:hAnsi="Montserrat"/>
          <w:b/>
          <w:bCs/>
          <w:color w:val="1A1A1A"/>
          <w:sz w:val="21"/>
          <w:szCs w:val="21"/>
        </w:rPr>
        <w:t xml:space="preserve">Enyrgy Vitamin D Primal Light Platform</w:t>
      </w:r>
      <w:r>
        <w:rPr>
          <w:rFonts w:ascii="Montserrat" w:cs="Montserrat" w:eastAsia="Montserrat" w:hAnsi="Montserrat"/>
          <w:b w:val="false"/>
          <w:bCs w:val="false"/>
          <w:color w:val="1A1A1A"/>
          <w:sz w:val="21"/>
          <w:szCs w:val="21"/>
        </w:rPr>
        <w:t xml:space="preserve">. Deprecated names, never use: "Precision Vitamin D Wellness Platform," "Primal Light Platform" alone.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Pathway 1, Vitamin D synthesis: 2.4x more efficient than sunlight. 2 to 4 minutes equals 2 to 4 hours of mid-day sun.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Pathway 2, Nitric Oxide release: supports cardiovascular regulation and blood pressure. Cannot be delivered orally (see the nitric oxide framing rule in section 10).</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Pathway 3, Serotonin production: sleep, mood, and cognitive function. Users report improvements within weeks.</w:t>
      </w:r>
    </w:p>
    <w:p>
      <w:pPr>
        <w:spacing w:after="120" w:line="276"/>
      </w:pPr>
      <w:r>
        <w:rPr>
          <w:rFonts w:ascii="Montserrat" w:cs="Montserrat" w:eastAsia="Montserrat" w:hAnsi="Montserrat"/>
          <w:b w:val="false"/>
          <w:bCs w:val="false"/>
          <w:color w:val="1A1A1A"/>
          <w:sz w:val="21"/>
          <w:szCs w:val="21"/>
        </w:rPr>
        <w:t xml:space="preserve">Sales anchor: no other solution delivers all three simultaneously. Supplements deliver Vitamin D only. Sunlight needs about 60x more time plus cancer risk. Red light is a different mechanism entirely (90 percent of Enyrgy customers use both). Enyrgy is a new category.</w:t>
      </w:r>
    </w:p>
    <w:p>
      <w:pPr>
        <w:spacing w:after="120" w:line="276"/>
      </w:pPr>
      <w:r>
        <w:rPr>
          <w:rFonts w:ascii="Montserrat" w:cs="Montserrat" w:eastAsia="Montserrat" w:hAnsi="Montserrat"/>
          <w:b w:val="false"/>
          <w:bCs w:val="false"/>
          <w:color w:val="1A1A1A"/>
          <w:sz w:val="21"/>
          <w:szCs w:val="21"/>
        </w:rPr>
        <w:t xml:space="preserve">Approved trademarked terms: </w:t>
      </w:r>
      <w:r>
        <w:rPr>
          <w:rFonts w:ascii="Montserrat" w:cs="Montserrat" w:eastAsia="Montserrat" w:hAnsi="Montserrat"/>
          <w:b/>
          <w:bCs/>
          <w:color w:val="1A1A1A"/>
          <w:sz w:val="21"/>
          <w:szCs w:val="21"/>
        </w:rPr>
        <w:t xml:space="preserve">BioCalibrated Sunshine</w:t>
      </w:r>
      <w:r>
        <w:rPr>
          <w:rFonts w:ascii="Montserrat" w:cs="Montserrat" w:eastAsia="Montserrat" w:hAnsi="Montserrat"/>
          <w:b w:val="false"/>
          <w:bCs w:val="false"/>
          <w:color w:val="1A1A1A"/>
          <w:sz w:val="21"/>
          <w:szCs w:val="21"/>
        </w:rPr>
        <w:t xml:space="preserve"> (personalized-dosing and skin-type angle), </w:t>
      </w:r>
      <w:r>
        <w:rPr>
          <w:rFonts w:ascii="Montserrat" w:cs="Montserrat" w:eastAsia="Montserrat" w:hAnsi="Montserrat"/>
          <w:b/>
          <w:bCs/>
          <w:color w:val="1A1A1A"/>
          <w:sz w:val="21"/>
          <w:szCs w:val="21"/>
        </w:rPr>
        <w:t xml:space="preserve">Triple-Pathway Advantage</w:t>
      </w:r>
      <w:r>
        <w:rPr>
          <w:rFonts w:ascii="Montserrat" w:cs="Montserrat" w:eastAsia="Montserrat" w:hAnsi="Montserrat"/>
          <w:b w:val="false"/>
          <w:bCs w:val="false"/>
          <w:color w:val="1A1A1A"/>
          <w:sz w:val="21"/>
          <w:szCs w:val="21"/>
        </w:rPr>
        <w:t xml:space="preserve">.</w:t>
      </w:r>
    </w:p>
    <w:p>
      <w:pPr>
        <w:pStyle w:val="Heading2"/>
        <w:spacing w:after="120" w:before="240"/>
      </w:pPr>
      <w:r>
        <w:rPr>
          <w:rFonts w:ascii="Montserrat" w:cs="Montserrat" w:eastAsia="Montserrat" w:hAnsi="Montserrat"/>
          <w:b/>
          <w:bCs/>
          <w:color w:val="E64C38"/>
          <w:sz w:val="25"/>
          <w:szCs w:val="25"/>
        </w:rPr>
        <w:t xml:space="preserve">3. Pricing and unit economics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Consumer Unit MSRP: $2,995 (gross margin 66 percent). Primary revenue driver, direct to consumer.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Commercial Unit MSRP: $8,950 (gross margin 78 percent). B2B wellness, growing.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Per-session cost: $2.30 (5 sessions per week over 5 years, roughly 1,300 sessions).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Referral: $150 off for the referee, $100 credit for the referrer (used in WF-07).</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OEM white-label (Lumanova / Luma D Light): same MSRP, wholesale arrangement.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Order URL: https://shop.enyrgy.com/products/uvb-light-therapy. Device registration: https://api.enyrgy.com/.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Commercial model: operators add Enyrgy as a $49-per-month modality add-on per client. Revenue scales with client count: 25 clients is $1,225 per month ($14,700 per year); 50 clients is $2,450 per month ($29,400 per year); 100 clients is $4,900 per month ($58,800 per year). Against the $8,950 unit cost, payback at 50 clients is under 4 months.</w:t>
      </w:r>
    </w:p>
    <w:p>
      <w:pPr>
        <w:pStyle w:val="Heading2"/>
        <w:spacing w:after="120" w:before="240"/>
      </w:pPr>
      <w:r>
        <w:rPr>
          <w:rFonts w:ascii="Montserrat" w:cs="Montserrat" w:eastAsia="Montserrat" w:hAnsi="Montserrat"/>
          <w:b/>
          <w:bCs/>
          <w:color w:val="E64C38"/>
          <w:sz w:val="25"/>
          <w:szCs w:val="25"/>
        </w:rPr>
        <w:t xml:space="preserve">4. Clinical and credibility data</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Clinical study result: +111 percent Vitamin D; 100 percent of study participants reached optimal Vitamin D levels; 12-week study.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Efficiency: 2.4x more efficient than sunlight for Vitamin D synthesis; 2 to 4 minutes equals 2 to 4 hours of mid-day sun (about 60x).</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Safety: 25,000+ sessions with zero burns and zero adverse events. The device emits over 90 percent UVB and under 10 percent UVA, the opposite of sunlight (about 95 percent UVA). The app calculates each user's personal MED by skin type and shuts off automatically.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Return rate under 1 percent, roughly 5 to 10x better than the industry average.</w:t>
      </w:r>
    </w:p>
    <w:p>
      <w:pPr>
        <w:pStyle w:val="Heading2"/>
        <w:spacing w:after="120" w:before="240"/>
      </w:pPr>
      <w:r>
        <w:rPr>
          <w:rFonts w:ascii="Montserrat" w:cs="Montserrat" w:eastAsia="Montserrat" w:hAnsi="Montserrat"/>
          <w:b/>
          <w:bCs/>
          <w:color w:val="E64C38"/>
          <w:sz w:val="25"/>
          <w:szCs w:val="25"/>
        </w:rPr>
        <w:t xml:space="preserve">5. Advisory board</w:t>
      </w:r>
    </w:p>
    <w:p>
      <w:pPr>
        <w:spacing w:after="120" w:line="276"/>
      </w:pPr>
      <w:r>
        <w:rPr>
          <w:rFonts w:ascii="Montserrat" w:cs="Montserrat" w:eastAsia="Montserrat" w:hAnsi="Montserrat"/>
          <w:b w:val="false"/>
          <w:bCs w:val="false"/>
          <w:color w:val="1A1A1A"/>
          <w:sz w:val="21"/>
          <w:szCs w:val="21"/>
        </w:rPr>
        <w:t xml:space="preserve">Advisory board members: Dr. Bruce Hollis, Dr. Samantha Kimball, Dr. William Grant. Their full approved bios are held by the KB Manager and load here when approved. Do not paraphrase or embellish an advisor's credentials beyond the approved bio. When referencing the board in objection handling, the approved phrasing is "advisory board includes Dr. Bruce Hollis."</w:t>
      </w:r>
    </w:p>
    <w:p>
      <w:pPr>
        <w:pStyle w:val="Heading2"/>
        <w:spacing w:after="120" w:before="240"/>
      </w:pPr>
      <w:r>
        <w:rPr>
          <w:rFonts w:ascii="Montserrat" w:cs="Montserrat" w:eastAsia="Montserrat" w:hAnsi="Montserrat"/>
          <w:b/>
          <w:bCs/>
          <w:color w:val="E64C38"/>
          <w:sz w:val="25"/>
          <w:szCs w:val="25"/>
        </w:rPr>
        <w:t xml:space="preserve">6. Approved talking points (voiced, use as written)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Every human body was meant to thrive on sunlight. We just made it safe, personalized and controllable. (Standard Description, do not alter.)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Get your body responding to sunlight the way it was meant to.</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Three biological pathways, switched on in 2 to 4 minutes.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25,000+ sessions with zero adverse events.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In our clinical study, 100 percent of participants reached optimal Vitamin D levels.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2.4x more efficient than sunlight for Vitamin D synthesis.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The app reads your skin type, sets your dose, and ends the session for you.</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Under 1 percent of people send it back. The industry lives at 5 to 10 percent.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Built in Phoenix, Arizona. Made in USA.</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600+ customers, 5 countries, zero paid ads.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Lumanova picked our technology to launch their own light, Luma D Light.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$2,995 to own it at home. $8,950 for the commercial unit.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That is $2.30 a session at 5 a week over 5 years.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90 percent of our customers run red light too. Different jobs, same routine.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Sunlight. Evolved.</w:t>
      </w:r>
    </w:p>
    <w:p>
      <w:pPr>
        <w:pStyle w:val="Heading2"/>
        <w:spacing w:after="120" w:before="240"/>
      </w:pPr>
      <w:r>
        <w:rPr>
          <w:rFonts w:ascii="Montserrat" w:cs="Montserrat" w:eastAsia="Montserrat" w:hAnsi="Montserrat"/>
          <w:b/>
          <w:bCs/>
          <w:color w:val="E64C38"/>
          <w:sz w:val="25"/>
          <w:szCs w:val="25"/>
        </w:rPr>
        <w:t xml:space="preserve">7. Objection scripts (voiced)</w:t>
      </w:r>
    </w:p>
    <w:p>
      <w:pPr>
        <w:spacing w:after="120" w:line="276"/>
      </w:pPr>
      <w:r>
        <w:rPr>
          <w:rFonts w:ascii="Montserrat" w:cs="Montserrat" w:eastAsia="Montserrat" w:hAnsi="Montserrat"/>
          <w:b/>
          <w:bCs/>
          <w:color w:val="1A1A1A"/>
          <w:sz w:val="21"/>
          <w:szCs w:val="21"/>
        </w:rPr>
        <w:t xml:space="preserve">Consumer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 already take supplements. Supplements are one lane, Vitamin D, and only if your body responds to it. In the trials, about one in four participants were low responders to vitamin D supplementation. Enyrgy opens all three lanes, Vitamin D, nitric oxide, and serotonin, in 2 to 4 minutes.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 will just go outside. Going outside works if you have 2 to 4 hours of mid-day sun to spare, plus the UVA aging and skin risk that rides along. Enyrgy gets you there in 2 to 4 minutes, about 60x the efficiency, without the downside.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What does the FDA say? It is a wellness device, not a medical one, and we make no medical claims. The results sit on peer-reviewed science, and our advisory board includes Dr. Bruce Hollis.</w:t>
      </w:r>
    </w:p>
    <w:p>
      <w:pPr>
        <w:spacing w:after="120" w:line="276"/>
      </w:pPr>
      <w:r>
        <w:rPr>
          <w:rFonts w:ascii="Montserrat" w:cs="Montserrat" w:eastAsia="Montserrat" w:hAnsi="Montserrat"/>
          <w:b/>
          <w:bCs/>
          <w:color w:val="1A1A1A"/>
          <w:sz w:val="21"/>
          <w:szCs w:val="21"/>
        </w:rPr>
        <w:t xml:space="preserve">Commercial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We already have red light. Ninety percent of our customers use both. They do different biological jobs, so this sits alongside what you already offer instead of replacing it.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Would clients pay? Vitamin D runs low in 77 percent of indoor adults, so the demand is already in your book. Operators are charging $49 to $75 a month for it.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Staff training? It is included, and light. The app calculates each client's dose and runs the session itself.</w:t>
      </w:r>
    </w:p>
    <w:p>
      <w:pPr>
        <w:spacing w:after="120" w:line="276"/>
      </w:pPr>
      <w:r>
        <w:rPr>
          <w:rFonts w:ascii="Montserrat" w:cs="Montserrat" w:eastAsia="Montserrat" w:hAnsi="Montserrat"/>
          <w:b/>
          <w:bCs/>
          <w:color w:val="1A1A1A"/>
          <w:sz w:val="21"/>
          <w:szCs w:val="21"/>
        </w:rPr>
        <w:t xml:space="preserve">Investor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Where is the equity upside? There is a conversion option at a 20 percent discount to an independent SEC valuation.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Is this a crowded market? It looks crowded until you line up the mechanisms. Nobody else delivers all three pathways. We are a category of one.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What is the exit? A strategic acquisition in the $100 to 150M range within 5 years. Natural buyers look like Philips, Apple Health, Peloton, AG1, or LVMH.</w:t>
      </w:r>
    </w:p>
    <w:p>
      <w:pPr>
        <w:pStyle w:val="Heading2"/>
        <w:spacing w:after="120" w:before="240"/>
      </w:pPr>
      <w:r>
        <w:rPr>
          <w:rFonts w:ascii="Montserrat" w:cs="Montserrat" w:eastAsia="Montserrat" w:hAnsi="Montserrat"/>
          <w:b/>
          <w:bCs/>
          <w:color w:val="E64C38"/>
          <w:sz w:val="25"/>
          <w:szCs w:val="25"/>
        </w:rPr>
        <w:t xml:space="preserve">8. Claim precision (corrected)</w:t>
      </w:r>
    </w:p>
    <w:p>
      <w:pPr>
        <w:spacing w:after="120" w:line="276"/>
      </w:pPr>
      <w:r>
        <w:rPr>
          <w:rFonts w:ascii="Montserrat" w:cs="Montserrat" w:eastAsia="Montserrat" w:hAnsi="Montserrat"/>
          <w:b w:val="false"/>
          <w:bCs w:val="false"/>
          <w:color w:val="1A1A1A"/>
          <w:sz w:val="21"/>
          <w:szCs w:val="21"/>
        </w:rPr>
        <w:t xml:space="preserve">The "one in four" statistic is about RESPONSE, not absorption. Low responders absorb the pill fine; their cells do less with it. Approved wording only: </w:t>
      </w:r>
      <w:r>
        <w:rPr>
          <w:rFonts w:ascii="Montserrat" w:cs="Montserrat" w:eastAsia="Montserrat" w:hAnsi="Montserrat"/>
          <w:b/>
          <w:bCs/>
          <w:color w:val="1A1A1A"/>
          <w:sz w:val="21"/>
          <w:szCs w:val="21"/>
        </w:rPr>
        <w:t xml:space="preserve">"in these trials, about one in four participants were low responders to vitamin D supplementation"</w:t>
      </w:r>
      <w:r>
        <w:rPr>
          <w:rFonts w:ascii="Montserrat" w:cs="Montserrat" w:eastAsia="Montserrat" w:hAnsi="Montserrat"/>
          <w:b w:val="false"/>
          <w:bCs w:val="false"/>
          <w:color w:val="1A1A1A"/>
          <w:sz w:val="21"/>
          <w:szCs w:val="21"/>
        </w:rPr>
        <w:t xml:space="preserve"> (Carlberg, VitDmet and VitDbol trials, Nutrients 2023, 15(15):3382). Never say "one in four cannot absorb," "supplements fail one in four," or "one in four Americans." This supersedes the older phrasing in Implementation Guide v3.9 Section 22 (Session 8 correction). Every claim must be exactly as verifiable as stated: no superlatives, no inflation, no unverifiable characterizations.</w:t>
      </w:r>
    </w:p>
    <w:p>
      <w:pPr>
        <w:pStyle w:val="Heading2"/>
        <w:spacing w:after="120" w:before="240"/>
      </w:pPr>
      <w:r>
        <w:rPr>
          <w:rFonts w:ascii="Montserrat" w:cs="Montserrat" w:eastAsia="Montserrat" w:hAnsi="Montserrat"/>
          <w:b/>
          <w:bCs/>
          <w:color w:val="E64C38"/>
          <w:sz w:val="25"/>
          <w:szCs w:val="25"/>
        </w:rPr>
        <w:t xml:space="preserve">9. Brand constants (locked)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Accent: Sunrise Orange #E64C38 only. No violet, purple, or amber.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Typography: Montserrat, all weights.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Text: Deep Charcoal #1A1A1A. Panels: Warm Off-White #F7F4EE, Calm Beige #ECE4CF. Line #E2DBC9. Muted #6B6B66.</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Tagline: "Sunlight. Evolved."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Voice: peer-to-peer, founder-to-peer. No em-dashes ever; use a comma, period, or rewrite. No icons or decorative glyphs.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Age minimum for all audiences: 18.</w:t>
      </w:r>
    </w:p>
    <w:p>
      <w:pPr>
        <w:pStyle w:val="Heading2"/>
        <w:spacing w:after="120" w:before="240"/>
      </w:pPr>
      <w:r>
        <w:rPr>
          <w:rFonts w:ascii="Montserrat" w:cs="Montserrat" w:eastAsia="Montserrat" w:hAnsi="Montserrat"/>
          <w:b/>
          <w:bCs/>
          <w:color w:val="E64C38"/>
          <w:sz w:val="25"/>
          <w:szCs w:val="25"/>
        </w:rPr>
        <w:t xml:space="preserve">10. Nitric oxide framing (enforce on every asset)</w:t>
      </w:r>
    </w:p>
    <w:p>
      <w:pPr>
        <w:spacing w:after="120" w:line="276"/>
      </w:pPr>
      <w:r>
        <w:rPr>
          <w:rFonts w:ascii="Montserrat" w:cs="Montserrat" w:eastAsia="Montserrat" w:hAnsi="Montserrat"/>
          <w:b w:val="false"/>
          <w:bCs w:val="false"/>
          <w:color w:val="1A1A1A"/>
          <w:sz w:val="21"/>
          <w:szCs w:val="21"/>
        </w:rPr>
        <w:t xml:space="preserve">Supplements feed the enzymatic route (substrate to eNOS to NO). UVA triggers enzyme-independent photorelease of NO from preformed skin stores (nitrite and nitrosothiols). The light pathway is additive, one a capsule cannot open. The claim "no supplement produces nitric oxide" is false framing and must never be used.</w:t>
      </w:r>
    </w:p>
    <w:p>
      <w:pPr>
        <w:pStyle w:val="Heading2"/>
        <w:spacing w:after="120" w:before="240"/>
      </w:pPr>
      <w:r>
        <w:rPr>
          <w:rFonts w:ascii="Montserrat" w:cs="Montserrat" w:eastAsia="Montserrat" w:hAnsi="Montserrat"/>
          <w:b/>
          <w:bCs/>
          <w:color w:val="E64C38"/>
          <w:sz w:val="25"/>
          <w:szCs w:val="25"/>
        </w:rPr>
        <w:t xml:space="preserve">11. Prohibited words (compliance)</w:t>
      </w:r>
    </w:p>
    <w:p>
      <w:pPr>
        <w:spacing w:after="120" w:line="276"/>
      </w:pPr>
      <w:r>
        <w:rPr>
          <w:rFonts w:ascii="Montserrat" w:cs="Montserrat" w:eastAsia="Montserrat" w:hAnsi="Montserrat"/>
          <w:b w:val="false"/>
          <w:bCs w:val="false"/>
          <w:color w:val="1A1A1A"/>
          <w:sz w:val="21"/>
          <w:szCs w:val="21"/>
        </w:rPr>
        <w:t xml:space="preserve">Never use in client-facing content: treat, cure, diagnose, disease, prescription, FDA-approved, medical treatment, heal, fix, medication, illness, clinical diagnosis, therapeutic treatment. Review all client-facing content against the January 2026 FDA Guidelines for Wellness Products before use. Enyrgy is a wellness device, not medical, and makes no medical claims.</w:t>
      </w:r>
    </w:p>
    <w:p>
      <w:pPr>
        <w:pStyle w:val="Heading2"/>
        <w:spacing w:after="120" w:before="240"/>
      </w:pPr>
      <w:r>
        <w:rPr>
          <w:rFonts w:ascii="Montserrat" w:cs="Montserrat" w:eastAsia="Montserrat" w:hAnsi="Montserrat"/>
          <w:b/>
          <w:bCs/>
          <w:color w:val="E64C38"/>
          <w:sz w:val="25"/>
          <w:szCs w:val="25"/>
        </w:rPr>
        <w:t xml:space="preserve">12. Attorney-confirmed compliance rule (verbatim, non-negotiable)</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val="false"/>
                <w:bCs w:val="false"/>
                <w:color w:val="1A1A1A"/>
                <w:sz w:val="20"/>
                <w:szCs w:val="20"/>
              </w:rPr>
              <w:t xml:space="preserve">The PPM may be sent to any interested investor after the intro meeting. Accreditation is NOT required before sending the PPM. Confirmed compliant per Enyrgy's securities attorney.</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val="false"/>
                <w:bCs w:val="false"/>
                <w:color w:val="1A1A1A"/>
                <w:sz w:val="20"/>
                <w:szCs w:val="20"/>
              </w:rPr>
              <w:t xml:space="preserve">The subscription agreement and term sheet are pre-acceptance documents and may also be sent before accreditation is confirmed. Accreditation is NOT required to send them.</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val="false"/>
                <w:bCs w:val="false"/>
                <w:color w:val="1A1A1A"/>
                <w:sz w:val="20"/>
                <w:szCs w:val="20"/>
              </w:rPr>
              <w:t xml:space="preserve">Accreditation (</w:t>
            </w:r>
            <w:r>
              <w:rPr>
                <w:rFonts w:ascii="Consolas" w:cs="Consolas" w:eastAsia="Consolas" w:hAnsi="Consolas"/>
                <w:color w:val="1A1A1A"/>
                <w:sz w:val="19"/>
                <w:szCs w:val="19"/>
              </w:rPr>
              <w:t xml:space="preserve">accredited_verified</w:t>
            </w:r>
            <w:r>
              <w:rPr>
                <w:rFonts w:ascii="Montserrat" w:cs="Montserrat" w:eastAsia="Montserrat" w:hAnsi="Montserrat"/>
                <w:b w:val="false"/>
                <w:bCs w:val="false"/>
                <w:color w:val="1A1A1A"/>
                <w:sz w:val="20"/>
                <w:szCs w:val="20"/>
              </w:rPr>
              <w:t xml:space="preserve"> = Yes) IS required only before: wire instructions, or accepting any investment (the points where funds change hands). No exceptions.</w:t>
            </w:r>
          </w:p>
        </w:tc>
      </w:tr>
    </w:tbl>
    <w:p>
      <w:pPr>
        <w:spacing w:after="120" w:line="276"/>
      </w:pPr>
      <w:r>
        <w:rPr>
          <w:rFonts w:ascii="Montserrat" w:cs="Montserrat" w:eastAsia="Montserrat" w:hAnsi="Montserrat"/>
          <w:b w:val="false"/>
          <w:bCs w:val="false"/>
          <w:color w:val="1A1A1A"/>
          <w:sz w:val="21"/>
          <w:szCs w:val="21"/>
        </w:rPr>
        <w:t xml:space="preserve">The prohibited-words scan runs before every email, SMS, and voicemail across all funnels. All investor materials must be attorney-approved before they load into the KB or GHL. The PPM document itself is a placeholder until the securities attorney approves it.</w:t>
      </w:r>
    </w:p>
    <w:p>
      <w:pPr>
        <w:pStyle w:val="Heading2"/>
        <w:spacing w:after="120" w:before="240"/>
      </w:pPr>
      <w:r>
        <w:rPr>
          <w:rFonts w:ascii="Montserrat" w:cs="Montserrat" w:eastAsia="Montserrat" w:hAnsi="Montserrat"/>
          <w:b/>
          <w:bCs/>
          <w:color w:val="E64C38"/>
          <w:sz w:val="25"/>
          <w:szCs w:val="25"/>
        </w:rPr>
        <w:t xml:space="preserve">13. Investor offering details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Structure: Private Credit, Promissory Note.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Total raise: $3.5M. Minimum: $50,000. Return: 12 percent per annum. Term: 3 years.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Interest paid quarterly (postponed the first 3 months).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Conversion option: at investor discretion, 20 percent discount from an independent SEC valuation.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Exit target: $100 to 150M in 5 years.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Delivery order: PPM, subscription agreement, and term sheet may all be shared pre-acceptance (PPM after the intro meeting). Wire instructions and acceptance of any investment shared only after </w:t>
      </w:r>
      <w:r>
        <w:rPr>
          <w:rFonts w:ascii="Consolas" w:cs="Consolas" w:eastAsia="Consolas" w:hAnsi="Consolas"/>
          <w:color w:val="1A1A1A"/>
          <w:sz w:val="20"/>
          <w:szCs w:val="20"/>
        </w:rPr>
        <w:t xml:space="preserve">accredited_verified</w:t>
      </w:r>
      <w:r>
        <w:rPr>
          <w:rFonts w:ascii="Montserrat" w:cs="Montserrat" w:eastAsia="Montserrat" w:hAnsi="Montserrat"/>
          <w:b w:val="false"/>
          <w:bCs w:val="false"/>
          <w:color w:val="1A1A1A"/>
          <w:sz w:val="21"/>
          <w:szCs w:val="21"/>
        </w:rPr>
        <w:t xml:space="preserve"> = Yes is confirmed (see the rule in section 12).</w:t>
      </w:r>
    </w:p>
    <w:p>
      <w:pPr>
        <w:pStyle w:val="Heading2"/>
        <w:spacing w:after="120" w:before="240"/>
      </w:pPr>
      <w:r>
        <w:rPr>
          <w:rFonts w:ascii="Montserrat" w:cs="Montserrat" w:eastAsia="Montserrat" w:hAnsi="Montserrat"/>
          <w:b/>
          <w:bCs/>
          <w:color w:val="E64C38"/>
          <w:sz w:val="25"/>
          <w:szCs w:val="25"/>
        </w:rPr>
        <w:t xml:space="preserve">14. OEM partner (Lumanova / Luma D Light)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Partner: Lumanova. Product brand: Luma D Light. Pricing: same MSRP ($2,995 / $8,950).</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Arrangement: OEM white-label; Lumanova sells under their brand, Enyrgy manufactures. Exclusivity: Black Unit.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GHL tags: </w:t>
      </w:r>
      <w:r>
        <w:rPr>
          <w:rFonts w:ascii="Consolas" w:cs="Consolas" w:eastAsia="Consolas" w:hAnsi="Consolas"/>
          <w:color w:val="1A1A1A"/>
          <w:sz w:val="20"/>
          <w:szCs w:val="20"/>
        </w:rPr>
        <w:t xml:space="preserve">type_partner</w:t>
      </w:r>
      <w:r>
        <w:rPr>
          <w:rFonts w:ascii="Montserrat" w:cs="Montserrat" w:eastAsia="Montserrat" w:hAnsi="Montserrat"/>
          <w:b w:val="false"/>
          <w:bCs w:val="false"/>
          <w:color w:val="1A1A1A"/>
          <w:sz w:val="21"/>
          <w:szCs w:val="21"/>
        </w:rPr>
        <w:t xml:space="preserve"> + </w:t>
      </w:r>
      <w:r>
        <w:rPr>
          <w:rFonts w:ascii="Consolas" w:cs="Consolas" w:eastAsia="Consolas" w:hAnsi="Consolas"/>
          <w:color w:val="1A1A1A"/>
          <w:sz w:val="20"/>
          <w:szCs w:val="20"/>
        </w:rPr>
        <w:t xml:space="preserve">source_oem_lumanova</w:t>
      </w:r>
      <w:r>
        <w:rPr>
          <w:rFonts w:ascii="Montserrat" w:cs="Montserrat" w:eastAsia="Montserrat" w:hAnsi="Montserrat"/>
          <w:b w:val="false"/>
          <w:bCs w:val="false"/>
          <w:color w:val="1A1A1A"/>
          <w:sz w:val="21"/>
          <w:szCs w:val="21"/>
        </w:rPr>
        <w:t xml:space="preserve"> + </w:t>
      </w:r>
      <w:r>
        <w:rPr>
          <w:rFonts w:ascii="Consolas" w:cs="Consolas" w:eastAsia="Consolas" w:hAnsi="Consolas"/>
          <w:color w:val="1A1A1A"/>
          <w:sz w:val="20"/>
          <w:szCs w:val="20"/>
        </w:rPr>
        <w:t xml:space="preserve">partnership_status active</w:t>
      </w:r>
      <w:r>
        <w:rPr>
          <w:rFonts w:ascii="Montserrat" w:cs="Montserrat" w:eastAsia="Montserrat" w:hAnsi="Montserrat"/>
          <w:b w:val="false"/>
          <w:bCs w:val="false"/>
          <w:color w:val="1A1A1A"/>
          <w:sz w:val="21"/>
          <w:szCs w:val="21"/>
        </w:rPr>
        <w:t xml:space="preserv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Any OEM matter escalates through the CEO to the human founders.</w:t>
      </w:r>
    </w:p>
    <w:p>
      <w:pPr>
        <w:pStyle w:val="Heading2"/>
        <w:spacing w:after="120" w:before="240"/>
      </w:pPr>
      <w:r>
        <w:rPr>
          <w:rFonts w:ascii="Montserrat" w:cs="Montserrat" w:eastAsia="Montserrat" w:hAnsi="Montserrat"/>
          <w:b/>
          <w:bCs/>
          <w:color w:val="E64C38"/>
          <w:sz w:val="25"/>
          <w:szCs w:val="25"/>
        </w:rPr>
        <w:t xml:space="preserve">15. Key reference facts (quick lookup)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Data point</w:t>
            </w:r>
          </w:p>
        </w:tc>
        <w:tc>
          <w:tcPr>
            <w:tcW w:type="dxa" w:w="468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Value</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Consumer Unit MSRP</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$2,995 (66 percent margin)</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Commercial Unit MSRP</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$8,950 (78 percent margin)</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Per-session cost</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$2.30 (5x per week, 5 years)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Treatments completed</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25,000+ (zero adverse events)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Customers</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600+ across 5 countries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Return rate</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under 1 percent</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Clinical result</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+111 percent Vitamin D; 100 percent reached optimal</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Efficiency vs sunlight</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2.4x; 2 to 4 min equals 2 to 4 hours (about 60x)</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Red light co-use</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90 percent of customers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Referral</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$150 off referee / $100 credit referrer</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offering</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$3.5M at 12 percent / 3yr, $50K minimum</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Exit target</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$100 to 150M in 5 years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Facility</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5115 N 27th Ave, Bld 66, Phoenix, AZ 85017, Made in USA</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Commercial model</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$49/month modality add-on per client; payback under 4 months at 50 clients</w:t>
            </w:r>
          </w:p>
        </w:tc>
      </w:tr>
    </w:tbl>
    <w:p>
      <w:pPr>
        <w:spacing w:after="80"/>
      </w:pPr>
      <w:r>
        <w:rPr>
          <w:rFonts w:ascii="Montserrat" w:cs="Montserrat" w:eastAsia="Montserrat" w:hAnsi="Montserrat"/>
        </w:rPr>
        <w:t xml:space="preserve"/>
      </w:r>
    </w:p>
    <w:p>
      <w:pPr>
        <w:pBdr>
          <w:bottom w:val="single" w:color="E2DBC9" w:sz="4"/>
        </w:pBdr>
        <w:spacing w:after="80" w:before="80"/>
      </w:pPr>
      <w:r>
        <w:rPr>
          <w:rFonts w:ascii="Montserrat" w:cs="Montserrat" w:eastAsia="Montserrat" w:hAnsi="Montserrat"/>
        </w:rPr>
        <w:t xml:space="preserve"/>
      </w:r>
    </w:p>
    <w:p>
      <w:pPr>
        <w:spacing w:after="120" w:line="276"/>
      </w:pPr>
      <w:r>
        <w:rPr>
          <w:rFonts w:ascii="Montserrat" w:cs="Montserrat" w:eastAsia="Montserrat" w:hAnsi="Montserrat"/>
          <w:i/>
          <w:iCs/>
          <w:color w:val="1A1A1A"/>
          <w:sz w:val="21"/>
          <w:szCs w:val="21"/>
        </w:rPr>
        <w:t xml:space="preserve">CONFIDENTIAL - Enyrgy Inc - 5115 N 27th Ave, Bld 66, Phoenix, AZ 85017 - enyrgy.com - Sunlight. Evolved.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Knowledge 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2026-07-22T03:45:41.233Z</dcterms:created>
  <dcterms:modified xsi:type="dcterms:W3CDTF">2026-07-22T03:45:41.249Z</dcterms:modified>
</cp:coreProperties>
</file>

<file path=docProps/custom.xml><?xml version="1.0" encoding="utf-8"?>
<Properties xmlns="http://schemas.openxmlformats.org/officeDocument/2006/custom-properties" xmlns:vt="http://schemas.openxmlformats.org/officeDocument/2006/docPropsVTypes"/>
</file>