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1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19"/>
    <w:bookmarkStart w:id="2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20"/>
    <w:bookmarkStart w:id="2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21"/>
    <w:bookmarkStart w:id="2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22"/>
    <w:bookmarkStart w:id="23" w:name="Xd016e191396204a5681c996c872ec5a3a4acd6e"/>
    <w:p>
      <w:pPr>
        <w:pStyle w:val="Heading2"/>
      </w:pPr>
      <w:r>
        <w:t xml:space="preserve">4b. Truemed HSA/FSA eligibility (started August 1, 2026. APPROVED August 2026)</w:t>
      </w:r>
    </w:p>
    <w:p>
      <w:pPr>
        <w:pStyle w:val="FirstParagraph"/>
      </w:pPr>
      <w:r>
        <w:rPr>
          <w:b/>
          <w:bCs/>
        </w:rPr>
        <w:t xml:space="preserve">APPROVED.</w:t>
      </w:r>
      <w:r>
        <w:t xml:space="preserve"> </w:t>
      </w:r>
      <w:r>
        <w:t xml:space="preserve">The Enyrgy Vitamin D Primal Light Platform is HSA/FSA eligible through Truemed. Truemed issues a Letter of Medical Necessity through their own practitioner network; Enyrgy makes no medical claims and that boundary still holds. The LOMN mechanism is never described in Enyrgy copy.</w:t>
      </w:r>
    </w:p>
    <w:p>
      <w:pPr>
        <w:pStyle w:val="BodyText"/>
      </w:pPr>
      <w:r>
        <w:rPr>
          <w:b/>
          <w:bCs/>
        </w:rPr>
        <w:t xml:space="preserve">Authorized phrasing, the only approved wording:</w:t>
      </w:r>
      <w:r>
        <w:t xml:space="preserve"> </w:t>
      </w:r>
      <w:r>
        <w:t xml:space="preserve">“HSA/FSA eligible through Truemed”</w:t>
      </w:r>
      <w:r>
        <w:t xml:space="preserve">. Never justify the HSA angle with condition-or-treatment language, and never explain the Letter of Medical Necessity, regardless of what Truemed’s own copy blocks say.</w:t>
      </w:r>
    </w:p>
    <w:p>
      <w:pPr>
        <w:pStyle w:val="BodyText"/>
      </w:pPr>
      <w:r>
        <w:rPr>
          <w:b/>
          <w:bCs/>
        </w:rPr>
        <w:t xml:space="preserve">Scope: Consumer Unit only. The wall mount is EXCLUDED.</w:t>
      </w:r>
      <w:r>
        <w:t xml:space="preserve"> </w:t>
      </w:r>
      <w:r>
        <w:t xml:space="preserve">No copy may imply cart-wide eligibility. The commercial unit remains out of scope. A facility purchase is a business expense, not a personal medical one.</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Per-SKU eligibility determination: RECEIVED.</w:t>
      </w:r>
      <w:r>
        <w:t xml:space="preserve"> </w:t>
      </w:r>
      <w:r>
        <w:t xml:space="preserve">Consumer Unit eligible;</w:t>
      </w:r>
      <w:r>
        <w:t xml:space="preserve"> </w:t>
      </w:r>
      <w:r>
        <w:rPr>
          <w:b/>
          <w:bCs/>
        </w:rPr>
        <w:t xml:space="preserve">wall mount excluded</w:t>
      </w:r>
      <w:r>
        <w:t xml:space="preserve">, as anticipated. The badge appears only where eligibility is substantiated.</w:t>
      </w:r>
    </w:p>
    <w:p>
      <w:pPr>
        <w:pStyle w:val="Compact"/>
        <w:numPr>
          <w:ilvl w:val="0"/>
          <w:numId w:val="1053"/>
        </w:numPr>
      </w:pPr>
      <w:r>
        <w:rPr>
          <w:b/>
          <w:bCs/>
        </w:rPr>
        <w:t xml:space="preserve">Badge and copy placement: DONE Aug 9.</w:t>
      </w:r>
      <w:r>
        <w:t xml:space="preserve"> </w:t>
      </w:r>
      <w:r>
        <w:t xml:space="preserve">Applied live in GHL, then documented in the repo. Four placements, all consumer, all device-price context, all using the authorized phrasing verbatim:</w:t>
      </w:r>
    </w:p>
    <w:p>
      <w:pPr>
        <w:pStyle w:val="Compact"/>
        <w:numPr>
          <w:ilvl w:val="1"/>
          <w:numId w:val="1054"/>
        </w:numPr>
      </w:pPr>
      <w:r>
        <w:rPr>
          <w:rStyle w:val="VerbatimChar"/>
        </w:rPr>
        <w:t xml:space="preserve">campaigns/WF-29-abandoned-checkout.md</w:t>
      </w:r>
      <w:r>
        <w:t xml:space="preserve"> </w:t>
      </w:r>
      <w:r>
        <w:t xml:space="preserve">Touch 2, cost paragraph. Highest-intent moment, cost is the named objection</w:t>
      </w:r>
    </w:p>
    <w:p>
      <w:pPr>
        <w:pStyle w:val="Compact"/>
        <w:numPr>
          <w:ilvl w:val="1"/>
          <w:numId w:val="1054"/>
        </w:numPr>
      </w:pPr>
      <w:r>
        <w:rPr>
          <w:rStyle w:val="VerbatimChar"/>
        </w:rPr>
        <w:t xml:space="preserve">campaigns/consumer-drip.md</w:t>
      </w:r>
      <w:r>
        <w:t xml:space="preserve"> </w:t>
      </w:r>
      <w:r>
        <w:t xml:space="preserve">Touch 8 (</w:t>
      </w:r>
      <w:r>
        <w:t xml:space="preserve">“What $2,995 works out to per session”</w:t>
      </w:r>
      <w:r>
        <w:t xml:space="preserve">). Appended to the financing clause</w:t>
      </w:r>
    </w:p>
    <w:p>
      <w:pPr>
        <w:pStyle w:val="Compact"/>
        <w:numPr>
          <w:ilvl w:val="1"/>
          <w:numId w:val="1054"/>
        </w:numPr>
      </w:pPr>
      <w:r>
        <w:rPr>
          <w:rStyle w:val="VerbatimChar"/>
        </w:rPr>
        <w:t xml:space="preserve">campaigns/WF-17-long-term-nurture.md</w:t>
      </w:r>
      <w:r>
        <w:t xml:space="preserve"> </w:t>
      </w:r>
      <w:r>
        <w:t xml:space="preserve">Touch 4 (</w:t>
      </w:r>
      <w:r>
        <w:t xml:space="preserve">“Is $2,995 a lot for light?”</w:t>
      </w:r>
      <w:r>
        <w:t xml:space="preserve">). Own short paragraph after the household-of-six line</w:t>
      </w:r>
    </w:p>
    <w:p>
      <w:pPr>
        <w:pStyle w:val="Compact"/>
        <w:numPr>
          <w:ilvl w:val="1"/>
          <w:numId w:val="1054"/>
        </w:numPr>
      </w:pPr>
      <w:r>
        <w:rPr>
          <w:rStyle w:val="VerbatimChar"/>
        </w:rPr>
        <w:t xml:space="preserve">Enyrgy_Paperclip_Knowledge_Base.md</w:t>
      </w:r>
      <w:r>
        <w:t xml:space="preserve"> </w:t>
      </w:r>
      <w:r>
        <w:t xml:space="preserve">§3 payment options</w:t>
      </w:r>
    </w:p>
    <w:p>
      <w:pPr>
        <w:pStyle w:val="Compact"/>
        <w:numPr>
          <w:ilvl w:val="1"/>
          <w:numId w:val="1054"/>
        </w:numPr>
      </w:pPr>
      <w:r>
        <w:rPr>
          <w:b/>
          <w:bCs/>
        </w:rPr>
        <w:t xml:space="preserve">Deliberately excluded:</w:t>
      </w:r>
      <w:r>
        <w:t xml:space="preserve"> </w:t>
      </w:r>
      <w:r>
        <w:t xml:space="preserve">all SMS (speed-to-lead and awareness touches, not cost touches; the Consumer Drip SMS already runs ~254 chars / two segments), commercial and partner drips, and the WF-20 / WF-13 / WF-22 closes, whose closing beats are the guarantee and the mechanism rather than price.</w:t>
      </w:r>
    </w:p>
    <w:p>
      <w:pPr>
        <w:pStyle w:val="Compact"/>
        <w:numPr>
          <w:ilvl w:val="0"/>
          <w:numId w:val="1055"/>
        </w:numPr>
      </w:pPr>
      <w:r>
        <w:rPr>
          <w:b/>
          <w:bCs/>
        </w:rPr>
        <w:t xml:space="preserve">KB Section 3 payment options: DONE Aug 9.</w:t>
      </w:r>
      <w:r>
        <w:t xml:space="preserve"> </w:t>
      </w:r>
      <w:r>
        <w:t xml:space="preserve">Now reads</w:t>
      </w:r>
      <w:r>
        <w:t xml:space="preserve"> </w:t>
      </w:r>
      <w:r>
        <w:t xml:space="preserve">“paid in full, financed, rented monthly, or purchased with HSA/FSA funds through Truemed”</w:t>
      </w:r>
      <w:r>
        <w:t xml:space="preserve">, with the authorized-phrasing rule and the wall-mount exclusion recorded inline.</w:t>
      </w:r>
    </w:p>
    <w:p>
      <w:pPr>
        <w:pStyle w:val="Compact"/>
        <w:numPr>
          <w:ilvl w:val="0"/>
          <w:numId w:val="1056"/>
        </w:numPr>
      </w:pPr>
      <w:r>
        <w:rPr>
          <w:b/>
          <w:bCs/>
        </w:rPr>
        <w:t xml:space="preserve">Re-sync the live</w:t>
      </w:r>
      <w:r>
        <w:rPr>
          <w:b/>
          <w:bCs/>
        </w:rPr>
        <w:t xml:space="preserve"> </w:t>
      </w:r>
      <w:r>
        <w:rPr>
          <w:rStyle w:val="VerbatimChar"/>
          <w:b/>
          <w:bCs/>
        </w:rPr>
        <w:t xml:space="preserve">enyrgy-knowledge-base</w:t>
      </w:r>
      <w:r>
        <w:rPr>
          <w:b/>
          <w:bCs/>
        </w:rPr>
        <w:t xml:space="preserve"> </w:t>
      </w:r>
      <w:r>
        <w:rPr>
          <w:b/>
          <w:bCs/>
        </w:rPr>
        <w:t xml:space="preserve">skill: DONE Aug 9.</w:t>
      </w:r>
      <w:r>
        <w:t xml:space="preserve"> </w:t>
      </w:r>
      <w:r>
        <w:t xml:space="preserve">Sales Outreach now answers with HSA/FSA in the payment options instead of the old three-ways-to-pay KB.</w:t>
      </w:r>
    </w:p>
    <w:p>
      <w:pPr>
        <w:pStyle w:val="Compact"/>
        <w:numPr>
          <w:ilvl w:val="0"/>
          <w:numId w:val="1057"/>
        </w:numPr>
      </w:pPr>
      <w:r>
        <w:rPr>
          <w:b/>
          <w:bCs/>
        </w:rPr>
        <w:t xml:space="preserve">Commercial-side determination: ANSWERED by Truemed, August 2026.</w:t>
      </w:r>
      <w:r>
        <w:t xml:space="preserve"> </w:t>
      </w:r>
      <w:r>
        <w:t xml:space="preserve">The rule turns on</w:t>
      </w:r>
      <w:r>
        <w:t xml:space="preserve"> </w:t>
      </w:r>
      <w:r>
        <w:rPr>
          <w:b/>
          <w:bCs/>
        </w:rPr>
        <w:t xml:space="preserve">who the buyer of record is</w:t>
      </w:r>
      <w:r>
        <w:t xml:space="preserve">, not on whether a facility was involved.</w:t>
      </w:r>
    </w:p>
    <w:p>
      <w:pPr>
        <w:pStyle w:val="Compact"/>
        <w:numPr>
          <w:ilvl w:val="1"/>
          <w:numId w:val="1058"/>
        </w:numPr>
      </w:pPr>
      <w:r>
        <w:rPr>
          <w:b/>
          <w:bCs/>
        </w:rPr>
        <w:t xml:space="preserve">Not eligible:</w:t>
      </w:r>
      <w:r>
        <w:t xml:space="preserve"> </w:t>
      </w:r>
      <w:r>
        <w:t xml:space="preserve">a facility buying units for its business, and any membership or session fees including Enyrgy access. Business expense, or a membership. This is what Truemed ruled out.</w:t>
      </w:r>
    </w:p>
    <w:p>
      <w:pPr>
        <w:pStyle w:val="Compact"/>
        <w:numPr>
          <w:ilvl w:val="1"/>
          <w:numId w:val="1058"/>
        </w:numPr>
      </w:pPr>
      <w:r>
        <w:rPr>
          <w:b/>
          <w:bCs/>
        </w:rPr>
        <w:t xml:space="preserve">Eligible:</w:t>
      </w:r>
      <w:r>
        <w:t xml:space="preserve"> </w:t>
      </w:r>
      <w:r>
        <w:t xml:space="preserve">an individual buying their own Consumer Unit at</w:t>
      </w:r>
      <w:r>
        <w:t xml:space="preserve"> </w:t>
      </w:r>
      <w:r>
        <w:rPr>
          <w:rStyle w:val="VerbatimChar"/>
        </w:rPr>
        <w:t xml:space="preserve">shop.enyrgy.com</w:t>
      </w:r>
      <w:r>
        <w:t xml:space="preserve"> </w:t>
      </w:r>
      <w:r>
        <w:t xml:space="preserve">through the facility’s unique referral link. The consumer is the purchaser and pays with HSA/FSA; the facility is credited the commission as referrer, not reseller. Recorded in KB §3.</w:t>
      </w:r>
    </w:p>
    <w:p>
      <w:pPr>
        <w:pStyle w:val="Compact"/>
        <w:numPr>
          <w:ilvl w:val="1"/>
          <w:numId w:val="1058"/>
        </w:numPr>
      </w:pPr>
      <w:r>
        <w:rPr>
          <w:b/>
          <w:bCs/>
        </w:rPr>
        <w:t xml:space="preserve">The channel angle is alive, but the wording matters.</w:t>
      </w:r>
      <w:r>
        <w:t xml:space="preserve"> </w:t>
      </w:r>
      <w:r>
        <w:t xml:space="preserve">Copy must not say a member can buy</w:t>
      </w:r>
      <w:r>
        <w:t xml:space="preserve"> </w:t>
      </w:r>
      <w:r>
        <w:t xml:space="preserve">“through”</w:t>
      </w:r>
      <w:r>
        <w:t xml:space="preserve"> </w:t>
      </w:r>
      <w:r>
        <w:t xml:space="preserve">a facility, which implies the facility sells the unit and is the case Truemed excluded. The accurate framing is: refer your members to your own link, they purchase directly and may use HSA/FSA, and you earn the commission. Draft WF-07 Touch 7 copy exists in the Aug 14 session and needs rewriting on that basis before it ships.</w:t>
      </w:r>
    </w:p>
    <w:p>
      <w:pPr>
        <w:pStyle w:val="Compact"/>
        <w:numPr>
          <w:ilvl w:val="1"/>
          <w:numId w:val="1058"/>
        </w:numPr>
      </w:pPr>
      <w:r>
        <w:t xml:space="preserve">Also settles Gino / Beyond Wellness: the answer to the HSA question is yes for his members buying their own units through his link, and no for anything Beyond Wellness buys itself.</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23"/>
    <w:bookmarkStart w:id="2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9"/>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60"/>
        </w:numPr>
      </w:pPr>
      <w:r>
        <w:rPr>
          <w:b/>
          <w:bCs/>
        </w:rPr>
        <w:t xml:space="preserve">Four GHL workflows created and left in Draft</w:t>
      </w:r>
      <w:r>
        <w:t xml:space="preserve">, each with a mapping reference captured from a sample payload: WF-32, WF-32T, WF-33, WF-33T.</w:t>
      </w:r>
    </w:p>
    <w:p>
      <w:pPr>
        <w:pStyle w:val="Compact"/>
        <w:numPr>
          <w:ilvl w:val="0"/>
          <w:numId w:val="1061"/>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62"/>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62"/>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62"/>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62"/>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3"/>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4"/>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5"/>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6"/>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7"/>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24"/>
    <w:bookmarkStart w:id="25" w:name="Xe837bf8dbdf53b86ca87a9b99e4925adf0bf51c"/>
    <w:p>
      <w:pPr>
        <w:pStyle w:val="Heading2"/>
      </w:pPr>
      <w:r>
        <w:t xml:space="preserve">4d. Inbound reply visibility: RESOLVED August 4, 2026</w:t>
      </w:r>
    </w:p>
    <w:p>
      <w:pPr>
        <w:pStyle w:val="Compact"/>
        <w:numPr>
          <w:ilvl w:val="0"/>
          <w:numId w:val="1068"/>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9"/>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70"/>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71"/>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72"/>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3"/>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4"/>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25"/>
    <w:bookmarkStart w:id="26" w:name="X20ecf8d0101cbeb380a3050bea348bce05794c5"/>
    <w:p>
      <w:pPr>
        <w:pStyle w:val="Heading2"/>
      </w:pPr>
      <w:r>
        <w:t xml:space="preserve">4e. WF-01 was creating consumer leads from inbound email: FIXED August 4, 2026</w:t>
      </w:r>
    </w:p>
    <w:p>
      <w:pPr>
        <w:pStyle w:val="Compact"/>
        <w:numPr>
          <w:ilvl w:val="0"/>
          <w:numId w:val="1075"/>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recognize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5"/>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5"/>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5"/>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5"/>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5"/>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26"/>
    <w:bookmarkStart w:id="27" w:name="X1aa70fc604e4262466312d97bc102dc168c2a06"/>
    <w:p>
      <w:pPr>
        <w:pStyle w:val="Heading2"/>
      </w:pPr>
      <w:r>
        <w:t xml:space="preserve">4e-2. Inbound calls: spam wave, a silenced business line, and a third WF-01 guard (August 7, 2026)</w:t>
      </w:r>
    </w:p>
    <w:p>
      <w:pPr>
        <w:pStyle w:val="FirstParagraph"/>
      </w:pPr>
      <w:r>
        <w:rPr>
          <w:b/>
          <w:bCs/>
        </w:rPr>
        <w:t xml:space="preserve">Trigger:</w:t>
      </w:r>
      <w:r>
        <w:t xml:space="preserve"> </w:t>
      </w:r>
      <w:r>
        <w:t xml:space="preserve">four WF-35 notifications arrived with no name, no email, a phone number, and</w:t>
      </w:r>
      <w:r>
        <w:t xml:space="preserve"> </w:t>
      </w:r>
      <w:r>
        <w:rPr>
          <w:rStyle w:val="VerbatimChar"/>
        </w:rPr>
        <w:t xml:space="preserve">{{message.body}}</w:t>
      </w:r>
      <w:r>
        <w:t xml:space="preserve"> </w:t>
      </w:r>
      <w:r>
        <w:t xml:space="preserve">resolving to the literal string</w:t>
      </w:r>
      <w:r>
        <w:t xml:space="preserve"> </w:t>
      </w:r>
      <w:r>
        <w:rPr>
          <w:rStyle w:val="VerbatimChar"/>
        </w:rPr>
        <w:t xml:space="preserve">undefined</w:t>
      </w:r>
      <w:r>
        <w:t xml:space="preserve">.</w:t>
      </w:r>
    </w:p>
    <w:p>
      <w:pPr>
        <w:pStyle w:val="Compact"/>
        <w:numPr>
          <w:ilvl w:val="0"/>
          <w:numId w:val="1076"/>
        </w:numPr>
      </w:pPr>
      <w:r>
        <w:t xml:space="preserve">☒</w:t>
      </w:r>
      <w:r>
        <w:t xml:space="preserve"> </w:t>
      </w:r>
      <w:r>
        <w:rPr>
          <w:b/>
          <w:bCs/>
        </w:rPr>
        <w:t xml:space="preserve">They were inbound calls, not replies.</w:t>
      </w:r>
      <w:r>
        <w:t xml:space="preserve"> </w:t>
      </w:r>
      <w:r>
        <w:t xml:space="preserve">WF-35’s trigger is Customer Replied with no filters, which includes the call channel. Each left a voicemail.</w:t>
      </w:r>
    </w:p>
    <w:p>
      <w:pPr>
        <w:pStyle w:val="Compact"/>
        <w:numPr>
          <w:ilvl w:val="0"/>
          <w:numId w:val="1076"/>
        </w:numPr>
      </w:pPr>
      <w:r>
        <w:t xml:space="preserve">☒</w:t>
      </w:r>
      <w:r>
        <w:t xml:space="preserve"> </w:t>
      </w:r>
      <w:r>
        <w:rPr>
          <w:b/>
          <w:bCs/>
        </w:rPr>
        <w:t xml:space="preserve">Identified as a known scam.</w:t>
      </w:r>
      <w:r>
        <w:t xml:space="preserve"> </w:t>
      </w:r>
      <w:r>
        <w:t xml:space="preserve">The</w:t>
      </w:r>
      <w:r>
        <w:t xml:space="preserve"> </w:t>
      </w:r>
      <w:r>
        <w:t xml:space="preserve">“your Google listing is not reaching customers”</w:t>
      </w:r>
      <w:r>
        <w:t xml:space="preserve"> </w:t>
      </w:r>
      <w:r>
        <w:t xml:space="preserve">robocall, which specifically targets businesses that have</w:t>
      </w:r>
      <w:r>
        <w:t xml:space="preserve"> </w:t>
      </w:r>
      <w:r>
        <w:rPr>
          <w:b/>
          <w:bCs/>
        </w:rPr>
        <w:t xml:space="preserve">recently verified a Google Business Profile</w:t>
      </w:r>
      <w:r>
        <w:t xml:space="preserve">. Enyrgy verified GBP in Session 15. Different numbers, identical voicemail.</w:t>
      </w:r>
      <w:r>
        <w:t xml:space="preserve"> </w:t>
      </w:r>
      <w:r>
        <w:rPr>
          <w:b/>
          <w:bCs/>
        </w:rPr>
        <w:t xml:space="preserve">Expect this to continue.</w:t>
      </w:r>
      <w:r>
        <w:t xml:space="preserve"> </w:t>
      </w:r>
      <w:r>
        <w:t xml:space="preserve">Do not call back and do not press a key to opt out, which confirms a live number.</w:t>
      </w:r>
    </w:p>
    <w:p>
      <w:pPr>
        <w:pStyle w:val="Compact"/>
        <w:numPr>
          <w:ilvl w:val="0"/>
          <w:numId w:val="1076"/>
        </w:numPr>
      </w:pPr>
      <w:r>
        <w:t xml:space="preserve">☒</w:t>
      </w:r>
      <w:r>
        <w:t xml:space="preserve"> </w:t>
      </w:r>
      <w:r>
        <w:rPr>
          <w:b/>
          <w:bCs/>
        </w:rPr>
        <w:t xml:space="preserve">THE REAL FINDING: the business line was silently swallowing calls.</w:t>
      </w:r>
      <w:r>
        <w:t xml:space="preserve"> </w:t>
      </w:r>
      <w:r>
        <w:t xml:space="preserve">Forwarding was configured correctly to Scott’s mobile, but Advanced Settings had</w:t>
      </w:r>
      <w:r>
        <w:t xml:space="preserve"> </w:t>
      </w:r>
      <w:r>
        <w:rPr>
          <w:b/>
          <w:bCs/>
        </w:rPr>
        <w:t xml:space="preserve">“Phone number I see when receiving the call”</w:t>
      </w:r>
      <w:r>
        <w:rPr>
          <w:b/>
          <w:bCs/>
        </w:rPr>
        <w:t xml:space="preserve"> </w:t>
      </w:r>
      <w:r>
        <w:rPr>
          <w:b/>
          <w:bCs/>
        </w:rPr>
        <w:t xml:space="preserve">set to Contact’s Phone Number</w:t>
      </w:r>
      <w:r>
        <w:t xml:space="preserve">, so forwarded calls arrived showing the caller’s number. An unknown number against iPhone’s Silence Unknown Callers never rings and never appears in Recents.</w:t>
      </w:r>
      <w:r>
        <w:t xml:space="preserve"> </w:t>
      </w:r>
      <w:r>
        <w:rPr>
          <w:b/>
          <w:bCs/>
        </w:rPr>
        <w:t xml:space="preserve">Any customer calling the number in every SMS footer was being silenced the same way.</w:t>
      </w:r>
      <w:r>
        <w:t xml:space="preserve"> </w:t>
      </w:r>
      <w:r>
        <w:t xml:space="preserve">Found only because four odd emails prompted a look.</w:t>
      </w:r>
    </w:p>
    <w:p>
      <w:pPr>
        <w:pStyle w:val="Compact"/>
        <w:numPr>
          <w:ilvl w:val="0"/>
          <w:numId w:val="1076"/>
        </w:numPr>
      </w:pPr>
      <w:r>
        <w:t xml:space="preserve">☒</w:t>
      </w:r>
      <w:r>
        <w:t xml:space="preserve"> </w:t>
      </w:r>
      <w:r>
        <w:rPr>
          <w:b/>
          <w:bCs/>
        </w:rPr>
        <w:t xml:space="preserve">Fixed:</w:t>
      </w:r>
      <w:r>
        <w:t xml:space="preserve"> </w:t>
      </w:r>
      <w:r>
        <w:t xml:space="preserve">switched to</w:t>
      </w:r>
      <w:r>
        <w:t xml:space="preserve"> </w:t>
      </w:r>
      <w:r>
        <w:rPr>
          <w:b/>
          <w:bCs/>
        </w:rPr>
        <w:t xml:space="preserve">CRM’s Phone Number</w:t>
      </w:r>
      <w:r>
        <w:t xml:space="preserve">, so every forwarded call now arrives from 888-316-1695. Save that number in the phone’s contacts as a named business line so it rings through and is identifiable. The caller’s number can be recovered by putting a merge field in the whisper message, which is read aloud before the connect key is pressed.</w:t>
      </w:r>
    </w:p>
    <w:p>
      <w:pPr>
        <w:pStyle w:val="Compact"/>
        <w:numPr>
          <w:ilvl w:val="0"/>
          <w:numId w:val="1076"/>
        </w:numPr>
      </w:pPr>
      <w:r>
        <w:t xml:space="preserve">☒</w:t>
      </w:r>
      <w:r>
        <w:t xml:space="preserve"> </w:t>
      </w:r>
      <w:r>
        <w:rPr>
          <w:b/>
          <w:bCs/>
        </w:rPr>
        <w:t xml:space="preserve">Whisper message em dash removed</w:t>
      </w:r>
      <w:r>
        <w:t xml:space="preserve"> </w:t>
      </w:r>
      <w:r>
        <w:t xml:space="preserve">(Standing Rule 1a). Now</w:t>
      </w:r>
      <w:r>
        <w:t xml:space="preserve"> </w:t>
      </w:r>
      <w:r>
        <w:t xml:space="preserve">“Enyrgy lead, press any key to talk.”</w:t>
      </w:r>
    </w:p>
    <w:p>
      <w:pPr>
        <w:pStyle w:val="Compact"/>
        <w:numPr>
          <w:ilvl w:val="0"/>
          <w:numId w:val="1076"/>
        </w:numPr>
      </w:pPr>
      <w:r>
        <w:t xml:space="preserve">☒</w:t>
      </w:r>
      <w:r>
        <w:t xml:space="preserve"> </w:t>
      </w:r>
      <w:r>
        <w:rPr>
          <w:b/>
          <w:bCs/>
        </w:rPr>
        <w:t xml:space="preserve">WF-01 guard extended a third time,</w:t>
      </w:r>
      <w:r>
        <w:rPr>
          <w:b/>
          <w:bCs/>
        </w:rPr>
        <w:t xml:space="preserve"> </w:t>
      </w:r>
      <w:r>
        <w:rPr>
          <w:rStyle w:val="VerbatimChar"/>
          <w:b/>
          <w:bCs/>
        </w:rPr>
        <w:t xml:space="preserve">AND Email is not empty</w:t>
      </w:r>
      <w:r>
        <w:rPr>
          <w:b/>
          <w:bCs/>
        </w:rPr>
        <w:t xml:space="preserve">.</w:t>
      </w:r>
      <w:r>
        <w:t xml:space="preserve"> </w:t>
      </w:r>
      <w:r>
        <w:t xml:space="preserve">GHL creates a contact for every inbound call and WF-01 routed them to</w:t>
      </w:r>
      <w:r>
        <w:t xml:space="preserve"> </w:t>
      </w:r>
      <w:r>
        <w:rPr>
          <w:rStyle w:val="VerbatimChar"/>
        </w:rPr>
        <w:t xml:space="preserve">Default Consumer</w:t>
      </w:r>
      <w:r>
        <w:t xml:space="preserve">, so four robocalls became four consumer leads with four Opportunities in the Consumer Product Pipeline.</w:t>
      </w:r>
      <w:r>
        <w:t xml:space="preserve"> </w:t>
      </w:r>
      <w:r>
        <w:rPr>
          <w:b/>
          <w:bCs/>
        </w:rPr>
        <w:t xml:space="preserve">Routing an email-less contact accomplishes nothing:</w:t>
      </w:r>
      <w:r>
        <w:t xml:space="preserve"> </w:t>
      </w:r>
      <w:r>
        <w:t xml:space="preserve">no email means the Consumer Drip cannot send, and no SMS Consent means WF-02’s gate blocks the text. Only tags and a spurious Opportunity resulted. Every genuine lead source captures an email, so email-less contacts are effectively only ever call-created. Verified by the inverse of the Aug 4 test: the same phone-only contact that came back tagged</w:t>
      </w:r>
      <w:r>
        <w:t xml:space="preserve"> </w:t>
      </w:r>
      <w:r>
        <w:rPr>
          <w:rStyle w:val="VerbatimChar"/>
        </w:rPr>
        <w:t xml:space="preserve">type_consumer</w:t>
      </w:r>
      <w:r>
        <w:t xml:space="preserve"> </w:t>
      </w:r>
      <w:r>
        <w:t xml:space="preserve">now receives no tags.</w:t>
      </w:r>
    </w:p>
    <w:p>
      <w:pPr>
        <w:pStyle w:val="Compact"/>
        <w:numPr>
          <w:ilvl w:val="0"/>
          <w:numId w:val="1076"/>
        </w:numPr>
      </w:pPr>
      <w:r>
        <w:t xml:space="preserve">☒</w:t>
      </w:r>
      <w:r>
        <w:t xml:space="preserve"> </w:t>
      </w:r>
      <w:r>
        <w:rPr>
          <w:b/>
          <w:bCs/>
        </w:rPr>
        <w:t xml:space="preserve">Spam contacts and their Opportunities deleted.</w:t>
      </w:r>
    </w:p>
    <w:p>
      <w:pPr>
        <w:pStyle w:val="Compact"/>
        <w:numPr>
          <w:ilvl w:val="0"/>
          <w:numId w:val="1076"/>
        </w:numPr>
      </w:pPr>
      <w:r>
        <w:t xml:space="preserve">☒</w:t>
      </w:r>
      <w:r>
        <w:t xml:space="preserve"> </w:t>
      </w:r>
      <w:r>
        <w:rPr>
          <w:b/>
          <w:bCs/>
        </w:rPr>
        <w:t xml:space="preserve">WF-35 call branch BUILT and verified (Aug 7).</w:t>
      </w:r>
      <w:r>
        <w:t xml:space="preserve"> </w:t>
      </w:r>
      <w:r>
        <w:t xml:space="preserve">A third branch,</w:t>
      </w:r>
      <w:r>
        <w:t xml:space="preserve"> </w:t>
      </w:r>
      <w:r>
        <w:rPr>
          <w:rStyle w:val="VerbatimChar"/>
        </w:rPr>
        <w:t xml:space="preserve">Call or Voicemail</w:t>
      </w:r>
      <w:r>
        <w:t xml:space="preserve">, conditioned on</w:t>
      </w:r>
      <w:r>
        <w:t xml:space="preserve"> </w:t>
      </w:r>
      <w:r>
        <w:rPr>
          <w:rStyle w:val="VerbatimChar"/>
        </w:rPr>
        <w:t xml:space="preserve">Replied message Is empty</w:t>
      </w:r>
      <w:r>
        <w:t xml:space="preserve"> </w:t>
      </w:r>
      <w:r>
        <w:t xml:space="preserve">and</w:t>
      </w:r>
      <w:r>
        <w:t xml:space="preserve"> </w:t>
      </w:r>
      <w:r>
        <w:rPr>
          <w:b/>
          <w:bCs/>
        </w:rPr>
        <w:t xml:space="preserve">ordered first</w:t>
      </w:r>
      <w:r>
        <w:t xml:space="preserve">, sends a call-specific notification naming the number. Ordering is the design: GHL takes the first matching branch, so placing it second would let a call from a contact who has an owner fall through and render</w:t>
      </w:r>
      <w:r>
        <w:t xml:space="preserve"> </w:t>
      </w:r>
      <w:r>
        <w:rPr>
          <w:rStyle w:val="VerbatimChar"/>
        </w:rPr>
        <w:t xml:space="preserve">undefined</w:t>
      </w:r>
      <w:r>
        <w:t xml:space="preserve"> </w:t>
      </w:r>
      <w:r>
        <w:t xml:space="preserve">again, rarely enough to be hard to spot.</w:t>
      </w:r>
    </w:p>
    <w:p>
      <w:pPr>
        <w:pStyle w:val="Compact"/>
        <w:numPr>
          <w:ilvl w:val="1"/>
          <w:numId w:val="1077"/>
        </w:numPr>
      </w:pPr>
      <w:r>
        <w:rPr>
          <w:b/>
          <w:bCs/>
        </w:rPr>
        <w:t xml:space="preserve">Verified end to end</w:t>
      </w:r>
      <w:r>
        <w:t xml:space="preserve"> </w:t>
      </w:r>
      <w:r>
        <w:t xml:space="preserve">by calling 888-316-1695 from Scott’s mobile and letting it reach voicemail. The phone rang showing 888-316-1695, and the notification arrived as</w:t>
      </w:r>
      <w:r>
        <w:t xml:space="preserve"> </w:t>
      </w:r>
      <w:r>
        <w:rPr>
          <w:rStyle w:val="VerbatimChar"/>
        </w:rPr>
        <w:t xml:space="preserve">Inbound call:</w:t>
      </w:r>
      <w:r>
        <w:t xml:space="preserve"> </w:t>
      </w:r>
      <w:r>
        <w:t xml:space="preserve">with the number populated,</w:t>
      </w:r>
      <w:r>
        <w:t xml:space="preserve"> </w:t>
      </w:r>
      <w:r>
        <w:rPr>
          <w:b/>
          <w:bCs/>
        </w:rPr>
        <w:t xml:space="preserve">confirming both the branch order and the caller-ID fix in a single test.</w:t>
      </w:r>
    </w:p>
    <w:p>
      <w:pPr>
        <w:pStyle w:val="Compact"/>
        <w:numPr>
          <w:ilvl w:val="1"/>
          <w:numId w:val="1077"/>
        </w:numPr>
      </w:pPr>
      <w:r>
        <w:rPr>
          <w:b/>
          <w:bCs/>
        </w:rPr>
        <w:t xml:space="preserve">The call channel was deliberately not filtered out</w:t>
      </w:r>
      <w:r>
        <w:t xml:space="preserve">, which was the obvious fix and the wrong one. Those useless</w:t>
      </w:r>
      <w:r>
        <w:t xml:space="preserve"> </w:t>
      </w:r>
      <w:r>
        <w:rPr>
          <w:rStyle w:val="VerbatimChar"/>
        </w:rPr>
        <w:t xml:space="preserve">undefined</w:t>
      </w:r>
      <w:r>
        <w:t xml:space="preserve"> </w:t>
      </w:r>
      <w:r>
        <w:t xml:space="preserve">notifications were the only thing that surfaced the silenced business line. Filtering would have restored the silence that had to be found by accident.</w:t>
      </w:r>
    </w:p>
    <w:p>
      <w:pPr>
        <w:pStyle w:val="Compact"/>
        <w:numPr>
          <w:ilvl w:val="0"/>
          <w:numId w:val="1076"/>
        </w:numPr>
      </w:pPr>
      <w:r>
        <w:rPr>
          <w:b/>
          <w:bCs/>
        </w:rPr>
        <w:t xml:space="preserve">Benign, for the record:</w:t>
      </w:r>
      <w:r>
        <w:t xml:space="preserve"> </w:t>
      </w:r>
      <w:r>
        <w:t xml:space="preserve">a contact exists for</w:t>
      </w:r>
      <w:r>
        <w:t xml:space="preserve"> </w:t>
      </w:r>
      <w:r>
        <w:rPr>
          <w:rStyle w:val="VerbatimChar"/>
        </w:rPr>
        <w:t xml:space="preserve">scott@enyrgy.com</w:t>
      </w:r>
      <w:r>
        <w:t xml:space="preserve"> </w:t>
      </w:r>
      <w:r>
        <w:t xml:space="preserve">carrying the WF-35 notifications sent to that address, because GHL needs a contact to hang an email conversation on.</w:t>
      </w:r>
      <w:r>
        <w:t xml:space="preserve"> </w:t>
      </w:r>
      <w:r>
        <w:rPr>
          <w:b/>
          <w:bCs/>
        </w:rPr>
        <w:t xml:space="preserve">It has no tags</w:t>
      </w:r>
      <w:r>
        <w:t xml:space="preserve">, which is the Aug 4 domain guard working. It does not re-trigger WF-35, since Customer Replied fires on inbound messages only. Deleting it is optional; it returns on the next notification.</w:t>
      </w:r>
    </w:p>
    <w:bookmarkEnd w:id="27"/>
    <w:bookmarkStart w:id="28" w:name="X300f893d696a377e1662141194944a62e141ca4"/>
    <w:p>
      <w:pPr>
        <w:pStyle w:val="Heading2"/>
      </w:pPr>
      <w:r>
        <w:t xml:space="preserve">4f. Open question for regulatory counsel: does the general wellness policy apply to Enyrgy?</w:t>
      </w:r>
    </w:p>
    <w:p>
      <w:pPr>
        <w:pStyle w:val="FirstParagraph"/>
      </w:pPr>
      <w:r>
        <w:rPr>
          <w:b/>
          <w:bCs/>
        </w:rPr>
        <w:t xml:space="preserve">Not a KB item. Scott’s decision, August 4: the FDA guidance stays out of the KB.</w:t>
      </w:r>
      <w:r>
        <w:t xml:space="preserve"> </w:t>
      </w:r>
      <w:r>
        <w:t xml:space="preserve">The KB keeps the prohibited-words list and</w:t>
      </w:r>
      <w:r>
        <w:t xml:space="preserve"> </w:t>
      </w:r>
      <w:r>
        <w:t xml:space="preserve">“Enyrgy is a wellness device, not medical, and makes no medical claims”</w:t>
      </w:r>
      <w:r>
        <w:t xml:space="preserve">, and the reference to the guidance was removed from Section 11 because it instructed a check no agent could perform against a document that may not even govern Enyrgy.</w:t>
      </w:r>
    </w:p>
    <w:p>
      <w:pPr>
        <w:pStyle w:val="Compact"/>
        <w:numPr>
          <w:ilvl w:val="0"/>
          <w:numId w:val="1078"/>
        </w:numPr>
      </w:pPr>
      <w:r>
        <w:t xml:space="preserve">☐</w:t>
      </w:r>
      <w:r>
        <w:t xml:space="preserve"> </w:t>
      </w:r>
      <w:r>
        <w:rPr>
          <w:b/>
          <w:bCs/>
        </w:rPr>
        <w:t xml:space="preserve">Ask counsel whether Enyrgy falls under FDA’s General Wellness: Policy for Low Risk Devices</w:t>
      </w:r>
      <w:r>
        <w:t xml:space="preserve"> </w:t>
      </w:r>
      <w:r>
        <w:t xml:space="preserve">(issued January 6, 2026, superseding September 27, 2019, docket FDA-2014-N-1039). Scott has the PDF.</w:t>
      </w:r>
    </w:p>
    <w:p>
      <w:pPr>
        <w:pStyle w:val="Compact"/>
        <w:numPr>
          <w:ilvl w:val="0"/>
          <w:numId w:val="1078"/>
        </w:numPr>
      </w:pPr>
      <w:r>
        <w:rPr>
          <w:b/>
          <w:bCs/>
        </w:rPr>
        <w:t xml:space="preserve">Why it is worth one question to counsel.</w:t>
      </w:r>
      <w:r>
        <w:t xml:space="preserve"> </w:t>
      </w:r>
      <w:r>
        <w:t xml:space="preserve">The guidance is a scope policy, not a claims list. Its decision-tree question A3 excludes any product involving</w:t>
      </w:r>
      <w:r>
        <w:t xml:space="preserve"> </w:t>
      </w:r>
      <w:r>
        <w:t xml:space="preserve">“a technology that may pose a risk to the safety of users or other persons if specific regulatory controls are not applied, such as risks from lasers or</w:t>
      </w:r>
      <w:r>
        <w:t xml:space="preserve"> </w:t>
      </w:r>
      <w:r>
        <w:rPr>
          <w:b/>
          <w:bCs/>
        </w:rPr>
        <w:t xml:space="preserve">radiation exposure</w:t>
      </w:r>
      <w:r>
        <w:t xml:space="preserve">”</w:t>
      </w:r>
      <w:r>
        <w:t xml:space="preserve">. The test is about the technology rather than the marketing claim, and Enyrgy emits UV.</w:t>
      </w:r>
    </w:p>
    <w:p>
      <w:pPr>
        <w:pStyle w:val="Compact"/>
        <w:numPr>
          <w:ilvl w:val="0"/>
          <w:numId w:val="1078"/>
        </w:numPr>
      </w:pPr>
      <w:r>
        <w:rPr>
          <w:b/>
          <w:bCs/>
        </w:rPr>
        <w:t xml:space="preserve">Enyrgy is NOT a sunlamp product, and the guidance’s sunlamp example does not describe it</w:t>
      </w:r>
      <w:r>
        <w:t xml:space="preserve"> </w:t>
      </w:r>
      <w:r>
        <w:t xml:space="preserve">(Scott’s correction, Aug 4). Sunlamps are UVA-dominant because tanning is a UVA effect, and the regulatory category turns on being intended to tan the skin. Enyrgy is</w:t>
      </w:r>
      <w:r>
        <w:t xml:space="preserve"> </w:t>
      </w:r>
      <w:r>
        <w:rPr>
          <w:b/>
          <w:bCs/>
        </w:rPr>
        <w:t xml:space="preserve">over 90 percent UVB and under 10 percent UVA</w:t>
      </w:r>
      <w:r>
        <w:t xml:space="preserve"> </w:t>
      </w:r>
      <w:r>
        <w:t xml:space="preserve">(KB Section 4), the inverse, and is intended for vitamin D synthesis. An earlier version of this entry leaned on that example and was wrong to.</w:t>
      </w:r>
    </w:p>
    <w:p>
      <w:pPr>
        <w:pStyle w:val="Compact"/>
        <w:numPr>
          <w:ilvl w:val="0"/>
          <w:numId w:val="1078"/>
        </w:numPr>
      </w:pPr>
      <w:r>
        <w:rPr>
          <w:b/>
          <w:bCs/>
        </w:rPr>
        <w:t xml:space="preserve">The question survives the correction, on different ground.</w:t>
      </w:r>
      <w:r>
        <w:t xml:space="preserve"> </w:t>
      </w:r>
      <w:r>
        <w:t xml:space="preserve">A3 is not written around tanning; sunlamps are only its illustration. Whether a UVB-dominant device clears a radiation-exposure test is arguably the sharper question, since UVB is the band responsible for direct DNA damage. That is precisely why the platform has a per-skin-type MED and an automatic cutoff. Counsel can answer in one conversation whether those controls place Enyrgy inside this policy, inside a different device category, or outside both.</w:t>
      </w:r>
    </w:p>
    <w:p>
      <w:pPr>
        <w:pStyle w:val="Compact"/>
        <w:numPr>
          <w:ilvl w:val="0"/>
          <w:numId w:val="1078"/>
        </w:numPr>
      </w:pPr>
      <w:r>
        <w:rPr>
          <w:b/>
          <w:bCs/>
        </w:rPr>
        <w:t xml:space="preserve">This is very probably not a problem, and that is the point.</w:t>
      </w:r>
      <w:r>
        <w:t xml:space="preserve"> </w:t>
      </w:r>
      <w:r>
        <w:t xml:space="preserve">Being outside an enforcement-discretion policy is not a violation; it means the policy is the wrong reference. The likely reality is that Enyrgy sits in a different and correct regulatory category. What is worth untangling is that</w:t>
      </w:r>
      <w:r>
        <w:t xml:space="preserve"> </w:t>
      </w:r>
      <w:r>
        <w:rPr>
          <w:b/>
          <w:bCs/>
        </w:rPr>
        <w:t xml:space="preserve">“wellness device, not medical device”</w:t>
      </w:r>
      <w:r>
        <w:rPr>
          <w:b/>
          <w:bCs/>
        </w:rPr>
        <w:t xml:space="preserve"> </w:t>
      </w:r>
      <w:r>
        <w:rPr>
          <w:b/>
          <w:bCs/>
        </w:rPr>
        <w:t xml:space="preserve">may be marketing positioning rather than a regulatory classification</w:t>
      </w:r>
      <w:r>
        <w:t xml:space="preserve">, and the KB currently reads as though it were the latter.</w:t>
      </w:r>
    </w:p>
    <w:p>
      <w:pPr>
        <w:pStyle w:val="Compact"/>
        <w:numPr>
          <w:ilvl w:val="0"/>
          <w:numId w:val="1078"/>
        </w:numPr>
      </w:pPr>
      <w:r>
        <w:rPr>
          <w:b/>
          <w:bCs/>
        </w:rPr>
        <w:t xml:space="preserve">Same discipline already applied to securities.</w:t>
      </w:r>
      <w:r>
        <w:t xml:space="preserve"> </w:t>
      </w:r>
      <w:r>
        <w:t xml:space="preserve">Investor compliance runs through an attorney and the KB records the verbatim rule. Device claims have no equivalent owner recorded anywhere.</w:t>
      </w:r>
    </w:p>
    <w:p>
      <w:pPr>
        <w:pStyle w:val="Compact"/>
        <w:numPr>
          <w:ilvl w:val="0"/>
          <w:numId w:val="1078"/>
        </w:numPr>
      </w:pPr>
      <w:r>
        <w:rPr>
          <w:b/>
          <w:bCs/>
        </w:rPr>
        <w:t xml:space="preserve">Safely useful regardless of the answer:</w:t>
      </w:r>
      <w:r>
        <w:t xml:space="preserve"> </w:t>
      </w:r>
      <w:r>
        <w:t xml:space="preserve">the guidance’s Category 2 phrasing,</w:t>
      </w:r>
      <w:r>
        <w:t xml:space="preserve"> </w:t>
      </w:r>
      <w:r>
        <w:t xml:space="preserve">“as part of a healthy lifestyle, may help reduce the risk of X”</w:t>
      </w:r>
      <w:r>
        <w:t xml:space="preserve">, is a well-tested formulation and is the exact shape of Enyrgy’s nitric-oxide and cardiovascular framing. Adopting that construction is defensive good practice whether or not the guidance formally governs Enyrgy.</w:t>
      </w:r>
    </w:p>
    <w:bookmarkEnd w:id="28"/>
    <w:bookmarkStart w:id="29" w:name="X55de05fafbaa4d531bd299457c6720173b6afce"/>
    <w:p>
      <w:pPr>
        <w:pStyle w:val="Heading2"/>
      </w:pPr>
      <w:r>
        <w:t xml:space="preserve">4g. Dealer program: two open items from the AVETTA onboarding (August 30, 2026)</w:t>
      </w:r>
    </w:p>
    <w:p>
      <w:pPr>
        <w:pStyle w:val="Compact"/>
        <w:numPr>
          <w:ilvl w:val="0"/>
          <w:numId w:val="1079"/>
        </w:numPr>
      </w:pPr>
      <w:r>
        <w:rPr>
          <w:b/>
          <w:bCs/>
        </w:rPr>
        <w:t xml:space="preserve">BLOCKING for dealer #2: the per-dealer form does not isolate the</w:t>
      </w:r>
      <w:r>
        <w:rPr>
          <w:b/>
          <w:bCs/>
        </w:rPr>
        <w:t xml:space="preserve"> </w:t>
      </w:r>
      <w:r>
        <w:rPr>
          <w:rStyle w:val="VerbatimChar"/>
          <w:b/>
          <w:bCs/>
        </w:rPr>
        <w:t xml:space="preserve">Dealer Name</w:t>
      </w:r>
      <w:r>
        <w:rPr>
          <w:b/>
          <w:bCs/>
        </w:rPr>
        <w:t xml:space="preserve"> </w:t>
      </w:r>
      <w:r>
        <w:rPr>
          <w:b/>
          <w:bCs/>
        </w:rPr>
        <w:t xml:space="preserve">dropdown.</w:t>
      </w:r>
      <w:r>
        <w:t xml:space="preserve"> </w:t>
      </w:r>
      <w:r>
        <w:t xml:space="preserve">Options live on the shared</w:t>
      </w:r>
      <w:r>
        <w:t xml:space="preserve"> </w:t>
      </w:r>
      <w:r>
        <w:rPr>
          <w:rStyle w:val="VerbatimChar"/>
        </w:rPr>
        <w:t xml:space="preserve">opportunity.dealer_name</w:t>
      </w:r>
      <w:r>
        <w:t xml:space="preserve"> </w:t>
      </w:r>
      <w:r>
        <w:t xml:space="preserve">custom field, so every form shows the same list. Duplicating the form gives each dealer their own URL and not their own dropdown, which was the whole point. Proven during the AVETTA onboarding: setting the option on their form copy alone propagated to the shared field, and the master simultaneously lost</w:t>
      </w:r>
      <w:r>
        <w:t xml:space="preserve"> </w:t>
      </w:r>
      <w:r>
        <w:rPr>
          <w:rStyle w:val="VerbatimChar"/>
        </w:rPr>
        <w:t xml:space="preserve">Unassigned</w:t>
      </w:r>
      <w:r>
        <w:t xml:space="preserve">.</w:t>
      </w:r>
      <w:r>
        <w:t xml:space="preserve"> </w:t>
      </w:r>
      <w:r>
        <w:rPr>
          <w:b/>
          <w:bCs/>
        </w:rPr>
        <w:t xml:space="preserve">One dealer is safe. A second exposes both.</w:t>
      </w:r>
      <w:r>
        <w:t xml:space="preserve"> </w:t>
      </w:r>
      <w:r>
        <w:t xml:space="preserve">Likely fix is to take the field off the form and capture attribution from a URL parameter, but confirm what the GHL form builder supports before committing. Full detail in</w:t>
      </w:r>
      <w:r>
        <w:t xml:space="preserve"> </w:t>
      </w:r>
      <w:r>
        <w:rPr>
          <w:rStyle w:val="VerbatimChar"/>
        </w:rPr>
        <w:t xml:space="preserve">campaigns/dealer-onboarding.md</w:t>
      </w:r>
      <w:r>
        <w:t xml:space="preserve">.</w:t>
      </w:r>
    </w:p>
    <w:p>
      <w:pPr>
        <w:pStyle w:val="Compact"/>
        <w:numPr>
          <w:ilvl w:val="0"/>
          <w:numId w:val="1080"/>
        </w:numPr>
      </w:pPr>
      <w:r>
        <w:rPr>
          <w:b/>
          <w:bCs/>
        </w:rPr>
        <w:t xml:space="preserve">Automate</w:t>
      </w:r>
      <w:r>
        <w:rPr>
          <w:b/>
          <w:bCs/>
        </w:rPr>
        <w:t xml:space="preserve"> </w:t>
      </w:r>
      <w:r>
        <w:rPr>
          <w:rStyle w:val="VerbatimChar"/>
          <w:b/>
          <w:bCs/>
        </w:rPr>
        <w:t xml:space="preserve">Exclusivity Expires</w:t>
      </w:r>
      <w:r>
        <w:rPr>
          <w:b/>
          <w:bCs/>
        </w:rPr>
        <w:t xml:space="preserve">.</w:t>
      </w:r>
      <w:r>
        <w:t xml:space="preserve"> </w:t>
      </w:r>
      <w:r>
        <w:t xml:space="preserve">Nothing set it, so no dealer would ever have been confirmed by WF-41. Now set by hand at Conflict Check, which works and is enforced by WF-41’s empty check. GHL offers a current date under</w:t>
      </w:r>
      <w:r>
        <w:t xml:space="preserve"> </w:t>
      </w:r>
      <w:r>
        <w:rPr>
          <w:rStyle w:val="VerbatimChar"/>
        </w:rPr>
        <w:t xml:space="preserve">Right now</w:t>
      </w:r>
      <w:r>
        <w:t xml:space="preserve"> </w:t>
      </w:r>
      <w:r>
        <w:t xml:space="preserve">and no offset, so the permanent fix is a Railway round trip using the abandoned-checkout service that already exists. Not urgent at one dealer.</w:t>
      </w:r>
    </w:p>
    <w:p>
      <w:pPr>
        <w:pStyle w:val="Compact"/>
        <w:numPr>
          <w:ilvl w:val="0"/>
          <w:numId w:val="1081"/>
        </w:numPr>
      </w:pPr>
      <w:r>
        <w:rPr>
          <w:b/>
          <w:bCs/>
        </w:rPr>
        <w:t xml:space="preserve">WF-40 hardened (Aug 30).</w:t>
      </w:r>
      <w:r>
        <w:t xml:space="preserve"> </w:t>
      </w:r>
      <w:r>
        <w:t xml:space="preserve">One minute wait before the opportunity lookup, and an internal notification on the</w:t>
      </w:r>
      <w:r>
        <w:t xml:space="preserve"> </w:t>
      </w:r>
      <w:r>
        <w:rPr>
          <w:rStyle w:val="VerbatimChar"/>
        </w:rPr>
        <w:t xml:space="preserve">Opportunity Not Found</w:t>
      </w:r>
      <w:r>
        <w:t xml:space="preserve"> </w:t>
      </w:r>
      <w:r>
        <w:t xml:space="preserve">branch which previously ended in silence.</w:t>
      </w:r>
    </w:p>
    <w:p>
      <w:pPr>
        <w:pStyle w:val="Compact"/>
        <w:numPr>
          <w:ilvl w:val="0"/>
          <w:numId w:val="1082"/>
        </w:numPr>
      </w:pPr>
      <w:r>
        <w:rPr>
          <w:b/>
          <w:bCs/>
        </w:rPr>
        <w:t xml:space="preserve">AVETTA Global LLC onboarding COMPLETE (Sep 5).</w:t>
      </w:r>
      <w:r>
        <w:t xml:space="preserve"> </w:t>
      </w:r>
      <w:r>
        <w:t xml:space="preserve">W-9 received, real registration link sent, test opportunities and contacts deleted.</w:t>
      </w:r>
    </w:p>
    <w:p>
      <w:pPr>
        <w:pStyle w:val="Compact"/>
        <w:numPr>
          <w:ilvl w:val="0"/>
          <w:numId w:val="1083"/>
        </w:numPr>
      </w:pPr>
      <w:r>
        <w:rPr>
          <w:b/>
          <w:bCs/>
        </w:rPr>
        <w:t xml:space="preserve">Found and fixed: WF-40 needed Allow Re-Entry ON.</w:t>
      </w:r>
      <w:r>
        <w:t xml:space="preserve"> </w:t>
      </w:r>
      <w:r>
        <w:t xml:space="preserve">A second submission from an already-enrolled contact was silently skipped, same trap as WF-35 in August. Fixed and verified.</w:t>
      </w:r>
      <w:r>
        <w:t xml:space="preserve"> </w:t>
      </w:r>
      <w:r>
        <w:rPr>
          <w:b/>
          <w:bCs/>
        </w:rPr>
        <w:t xml:space="preserve">Check WF-41, WF-42 and WF-43 for the same setting next time any of them is open</w:t>
      </w:r>
      <w:r>
        <w:t xml:space="preserve">, since none has been confirmed.</w:t>
      </w:r>
    </w:p>
    <w:p>
      <w:pPr>
        <w:pStyle w:val="Compact"/>
        <w:numPr>
          <w:ilvl w:val="0"/>
          <w:numId w:val="1084"/>
        </w:numPr>
      </w:pPr>
      <w:r>
        <w:rPr>
          <w:b/>
          <w:bCs/>
        </w:rPr>
        <w:t xml:space="preserve">Found and mitigated: a second registration from the same facility contact overwrites the first, not just skips it.</w:t>
      </w:r>
      <w:r>
        <w:t xml:space="preserve"> </w:t>
      </w:r>
      <w:r>
        <w:t xml:space="preserve">Confirmed by a controlled test that the collision key is the facility contact’s identity, not the dealer’s. Root mechanism in GHL not located. Mitigated with inline instruction text on AVETTA’s form requiring a unique facility contact per registration. Residual risk (a contact overseeing more than one site) accepted as narrow rather than eliminated. Full detail in</w:t>
      </w:r>
      <w:r>
        <w:t xml:space="preserve"> </w:t>
      </w:r>
      <w:r>
        <w:rPr>
          <w:rStyle w:val="VerbatimChar"/>
        </w:rPr>
        <w:t xml:space="preserve">campaigns/dealer-onboarding.md</w:t>
      </w:r>
      <w:r>
        <w:t xml:space="preserve">.</w:t>
      </w:r>
    </w:p>
    <w:bookmarkEnd w:id="29"/>
    <w:bookmarkStart w:id="30" w:name="X787c6ae49ec488fed45086d4c0a203c1e5c3e7f"/>
    <w:p>
      <w:pPr>
        <w:pStyle w:val="Heading2"/>
      </w:pPr>
      <w:r>
        <w:t xml:space="preserve">5. Strategic architecture decisions (mostly ratify, not build)</w:t>
      </w:r>
    </w:p>
    <w:p>
      <w:pPr>
        <w:pStyle w:val="Compact"/>
        <w:numPr>
          <w:ilvl w:val="0"/>
          <w:numId w:val="1085"/>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86"/>
        </w:numPr>
      </w:pPr>
      <w:r>
        <w:rPr>
          <w:b/>
          <w:bCs/>
        </w:rPr>
        <w:t xml:space="preserve">System-of-record ownership map:</w:t>
      </w:r>
      <w:r>
        <w:t xml:space="preserve"> </w:t>
      </w:r>
      <w:r>
        <w:t xml:space="preserve">ratify the documented SoR (decision/doc task).</w:t>
      </w:r>
    </w:p>
    <w:p>
      <w:pPr>
        <w:pStyle w:val="Compact"/>
        <w:numPr>
          <w:ilvl w:val="0"/>
          <w:numId w:val="1087"/>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88"/>
        </w:numPr>
      </w:pPr>
      <w:r>
        <w:rPr>
          <w:b/>
          <w:bCs/>
        </w:rPr>
        <w:t xml:space="preserve">OEM / Lumanova data boundary:</w:t>
      </w:r>
      <w:r>
        <w:t xml:space="preserve"> </w:t>
      </w:r>
      <w:r>
        <w:t xml:space="preserve">formalize an auditable path as the partner program grows.</w:t>
      </w:r>
    </w:p>
    <w:p>
      <w:pPr>
        <w:pStyle w:val="Compact"/>
        <w:numPr>
          <w:ilvl w:val="0"/>
          <w:numId w:val="1089"/>
        </w:numPr>
      </w:pPr>
      <w:r>
        <w:rPr>
          <w:b/>
          <w:bCs/>
        </w:rPr>
        <w:t xml:space="preserve">Metric governance owner:</w:t>
      </w:r>
      <w:r>
        <w:t xml:space="preserve"> </w:t>
      </w:r>
      <w:r>
        <w:t xml:space="preserve">figures reconciled; assign a single owner.</w:t>
      </w:r>
    </w:p>
    <w:p>
      <w:pPr>
        <w:pStyle w:val="Compact"/>
        <w:numPr>
          <w:ilvl w:val="0"/>
          <w:numId w:val="1090"/>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91"/>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30"/>
    <w:bookmarkStart w:id="31" w:name="future-optional"/>
    <w:p>
      <w:pPr>
        <w:pStyle w:val="Heading2"/>
      </w:pPr>
      <w:r>
        <w:t xml:space="preserve">6. Future / optional</w:t>
      </w:r>
    </w:p>
    <w:p>
      <w:pPr>
        <w:pStyle w:val="Compact"/>
        <w:numPr>
          <w:ilvl w:val="0"/>
          <w:numId w:val="1092"/>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93"/>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94"/>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95"/>
        </w:numPr>
      </w:pPr>
      <w:r>
        <w:rPr>
          <w:b/>
          <w:bCs/>
        </w:rPr>
        <w:t xml:space="preserve">Paid acquisition</w:t>
      </w:r>
      <w:r>
        <w:t xml:space="preserve"> </w:t>
      </w:r>
      <w:r>
        <w:t xml:space="preserve">(Meta/Google): after domain warmup finishes.</w:t>
      </w:r>
    </w:p>
    <w:p>
      <w:pPr>
        <w:pStyle w:val="Compact"/>
        <w:numPr>
          <w:ilvl w:val="0"/>
          <w:numId w:val="1096"/>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97"/>
        </w:numPr>
      </w:pPr>
      <w:r>
        <w:rPr>
          <w:b/>
          <w:bCs/>
        </w:rPr>
        <w:t xml:space="preserve">Form embeds:</w:t>
      </w:r>
      <w:r>
        <w:t xml:space="preserve"> </w:t>
      </w:r>
      <w:r>
        <w:t xml:space="preserve">Commercial Inquiry + Partner Application forms onto go.enyrgy.com (developer).</w:t>
      </w:r>
    </w:p>
    <w:p>
      <w:pPr>
        <w:pStyle w:val="Compact"/>
        <w:numPr>
          <w:ilvl w:val="0"/>
          <w:numId w:val="1098"/>
        </w:numPr>
      </w:pPr>
      <w:r>
        <w:rPr>
          <w:b/>
          <w:bCs/>
        </w:rPr>
        <w:t xml:space="preserve">Upgrade the abandoned-checkout Railway service off trial</w:t>
      </w:r>
      <w:r>
        <w:t xml:space="preserve"> </w:t>
      </w:r>
      <w:r>
        <w:t xml:space="preserve">(may already be on Hobby; confirm).</w:t>
      </w:r>
    </w:p>
    <w:bookmarkEnd w:id="31"/>
    <w:bookmarkStart w:id="32" w:name="X99a4122416d3be25b3ec730ee1c5d273b04fea6"/>
    <w:p>
      <w:pPr>
        <w:pStyle w:val="Heading2"/>
      </w:pPr>
      <w:r>
        <w:t xml:space="preserve">6b. Content backup gap: CLOSED August 3, 2026</w:t>
      </w:r>
    </w:p>
    <w:p>
      <w:pPr>
        <w:pStyle w:val="Compact"/>
        <w:numPr>
          <w:ilvl w:val="0"/>
          <w:numId w:val="1099"/>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100"/>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101"/>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101"/>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101"/>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101"/>
        </w:numPr>
      </w:pPr>
      <w:r>
        <w:rPr>
          <w:b/>
          <w:bCs/>
        </w:rPr>
        <w:t xml:space="preserve">Secondary benefit:</w:t>
      </w:r>
      <w:r>
        <w:t xml:space="preserve"> </w:t>
      </w:r>
      <w:r>
        <w:t xml:space="preserve">makes the copy greppable, so subject lines and claims can be located and audited without clicking through GHL.</w:t>
      </w:r>
    </w:p>
    <w:bookmarkEnd w:id="32"/>
    <w:bookmarkStart w:id="33" w:name="documentation-hygiene"/>
    <w:p>
      <w:pPr>
        <w:pStyle w:val="Heading2"/>
      </w:pPr>
      <w:r>
        <w:t xml:space="preserve">7. Documentation hygiene</w:t>
      </w:r>
    </w:p>
    <w:p>
      <w:pPr>
        <w:numPr>
          <w:ilvl w:val="0"/>
          <w:numId w:val="1102"/>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103"/>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104"/>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105"/>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106"/>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107"/>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108"/>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109"/>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110"/>
        </w:numPr>
      </w:pPr>
      <w:r>
        <w:rPr>
          <w:b/>
          <w:bCs/>
        </w:rPr>
        <w:t xml:space="preserve">Campaign copy backed up:</w:t>
      </w:r>
      <w:r>
        <w:t xml:space="preserve"> </w:t>
      </w:r>
      <w:r>
        <w:t xml:space="preserve">see 6b. Standing Rule 9 added to the handoff, save the artifact and not a description of it.</w:t>
      </w:r>
    </w:p>
    <w:bookmarkEnd w:id="33"/>
    <w:bookmarkStart w:id="34" w:name="X4ef6576507d0fd69ab3954b626c150ac8397a60"/>
    <w:p>
      <w:pPr>
        <w:pStyle w:val="Heading2"/>
      </w:pPr>
      <w:r>
        <w:t xml:space="preserve">8. Standing operating discipline (adopted Session 15)</w:t>
      </w:r>
    </w:p>
    <w:p>
      <w:pPr>
        <w:pStyle w:val="Compact"/>
        <w:numPr>
          <w:ilvl w:val="0"/>
          <w:numId w:val="1111"/>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12"/>
        </w:numPr>
      </w:pPr>
      <w:r>
        <w:rPr>
          <w:b/>
          <w:bCs/>
        </w:rPr>
        <w:t xml:space="preserve">Keep credit buffered and watch the Costs page.</w:t>
      </w:r>
      <w:r>
        <w:t xml:space="preserve"> </w:t>
      </w:r>
      <w:r>
        <w:t xml:space="preserve">Starvation is more expensive than headroom, not cheaper.</w:t>
      </w:r>
    </w:p>
    <w:bookmarkEnd w:id="34"/>
    <w:bookmarkEnd w:id="35"/>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Master TODO </w:t>
    </w:r>
    <w:proofErr w:type="gramStart"/>
    <w:r>
      <w:rPr>
        <w:rFonts w:ascii="Montserrat" w:eastAsia="Montserrat" w:hAnsi="Montserrat" w:cs="Montserrat"/>
        <w:b/>
        <w:bCs/>
        <w:color w:val="E64C38"/>
        <w:sz w:val="18"/>
        <w:szCs w:val="18"/>
      </w:rPr>
      <w:t xml:space="preserve">v3.9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3"/>
  </w:num>
  <w:num w:numId="1053">
    <w:abstractNumId w:val="993"/>
  </w:num>
  <w:num w:numId="1054">
    <w:abstractNumId w:val="991"/>
  </w:num>
  <w:num w:numId="1055">
    <w:abstractNumId w:val="993"/>
  </w:num>
  <w:num w:numId="1056">
    <w:abstractNumId w:val="993"/>
  </w:num>
  <w:num w:numId="1057">
    <w:abstractNumId w:val="993"/>
  </w:num>
  <w:num w:numId="1058">
    <w:abstractNumId w:val="991"/>
  </w:num>
  <w:num w:numId="1059">
    <w:abstractNumId w:val="993"/>
  </w:num>
  <w:num w:numId="1060">
    <w:abstractNumId w:val="993"/>
  </w:num>
  <w:num w:numId="1061">
    <w:abstractNumId w:val="993"/>
  </w:num>
  <w:num w:numId="1062">
    <w:abstractNumId w:val="991"/>
  </w:num>
  <w:num w:numId="1063">
    <w:abstractNumId w:val="992"/>
  </w:num>
  <w:num w:numId="1064">
    <w:abstractNumId w:val="992"/>
  </w:num>
  <w:num w:numId="1065">
    <w:abstractNumId w:val="992"/>
  </w:num>
  <w:num w:numId="1066">
    <w:abstractNumId w:val="992"/>
  </w:num>
  <w:num w:numId="1067">
    <w:abstractNumId w:val="992"/>
  </w:num>
  <w:num w:numId="1068">
    <w:abstractNumId w:val="993"/>
  </w:num>
  <w:num w:numId="1069">
    <w:abstractNumId w:val="993"/>
  </w:num>
  <w:num w:numId="1070">
    <w:abstractNumId w:val="993"/>
  </w:num>
  <w:num w:numId="1071">
    <w:abstractNumId w:val="993"/>
  </w:num>
  <w:num w:numId="1072">
    <w:abstractNumId w:val="993"/>
  </w:num>
  <w:num w:numId="1073">
    <w:abstractNumId w:val="992"/>
  </w:num>
  <w:num w:numId="1074">
    <w:abstractNumId w:val="993"/>
  </w:num>
  <w:num w:numId="1075">
    <w:abstractNumId w:val="991"/>
  </w:num>
  <w:num w:numId="1076">
    <w:abstractNumId w:val="991"/>
  </w:num>
  <w:num w:numId="1077">
    <w:abstractNumId w:val="991"/>
  </w:num>
  <w:num w:numId="1078">
    <w:abstractNumId w:val="991"/>
  </w:num>
  <w:num w:numId="1079">
    <w:abstractNumId w:val="992"/>
  </w:num>
  <w:num w:numId="1080">
    <w:abstractNumId w:val="992"/>
  </w:num>
  <w:num w:numId="1081">
    <w:abstractNumId w:val="993"/>
  </w:num>
  <w:num w:numId="1082">
    <w:abstractNumId w:val="993"/>
  </w:num>
  <w:num w:numId="1083">
    <w:abstractNumId w:val="993"/>
  </w:num>
  <w:num w:numId="1084">
    <w:abstractNumId w:val="993"/>
  </w:num>
  <w:num w:numId="1085">
    <w:abstractNumId w:val="992"/>
  </w:num>
  <w:num w:numId="1086">
    <w:abstractNumId w:val="992"/>
  </w:num>
  <w:num w:numId="1087">
    <w:abstractNumId w:val="992"/>
  </w:num>
  <w:num w:numId="1088">
    <w:abstractNumId w:val="992"/>
  </w:num>
  <w:num w:numId="1089">
    <w:abstractNumId w:val="992"/>
  </w:num>
  <w:num w:numId="1090">
    <w:abstractNumId w:val="993"/>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3"/>
  </w:num>
  <w:num w:numId="1100">
    <w:abstractNumId w:val="993"/>
  </w:num>
  <w:num w:numId="1101">
    <w:abstractNumId w:val="991"/>
  </w:num>
  <w:num w:numId="1102">
    <w:abstractNumId w:val="993"/>
  </w:num>
  <w:num w:numId="1103">
    <w:abstractNumId w:val="993"/>
  </w:num>
  <w:num w:numId="1104">
    <w:abstractNumId w:val="992"/>
  </w:num>
  <w:num w:numId="1105">
    <w:abstractNumId w:val="993"/>
  </w:num>
  <w:num w:numId="1106">
    <w:abstractNumId w:val="993"/>
  </w:num>
  <w:num w:numId="1107">
    <w:abstractNumId w:val="993"/>
  </w:num>
  <w:num w:numId="1108">
    <w:abstractNumId w:val="993"/>
  </w:num>
  <w:num w:numId="1109">
    <w:abstractNumId w:val="993"/>
  </w:num>
  <w:num w:numId="1110">
    <w:abstractNumId w:val="993"/>
  </w:num>
  <w:num w:numId="1111">
    <w:abstractNumId w:val="992"/>
  </w:num>
  <w:num w:numId="11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2026-09-05T08:04:18Z</dcterms:created>
  <dcterms:modified xsi:type="dcterms:W3CDTF">2026-09-05T08:04:18Z</dcterms:modified>
</cp:coreProperties>
</file>

<file path=docProps/custom.xml><?xml version="1.0" encoding="utf-8"?>
<Properties xmlns="http://schemas.openxmlformats.org/officeDocument/2006/custom-properties" xmlns:vt="http://schemas.openxmlformats.org/officeDocument/2006/docPropsVTypes"/>
</file>