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enyrgy-vitamin-d-primal-light-platform"/>
    <w:p>
      <w:pPr>
        <w:pStyle w:val="Heading1"/>
      </w:pPr>
      <w:r>
        <w:t xml:space="preserve">Enyrgy Vitamin D Primal Light Platform</w:t>
      </w:r>
    </w:p>
    <w:p>
      <w:pPr>
        <w:pStyle w:val="FirstParagraph"/>
      </w:pPr>
      <w:r>
        <w:rPr>
          <w:b/>
          <w:bCs/>
        </w:rPr>
        <w:t xml:space="preserve">A Vitamin D light modality for your service line, and a retail line for your shop</w:t>
      </w:r>
    </w:p>
    <w:p>
      <w:pPr>
        <w:pStyle w:val="BodyText"/>
      </w:pPr>
      <w:r>
        <w:rPr>
          <w:i/>
          <w:iCs/>
        </w:rPr>
        <w:t xml:space="preserve">Prepared for the Center for New Medicine, Irvine, California</w:t>
      </w:r>
    </w:p>
    <w:p>
      <w:r>
        <w:pict>
          <v:rect style="width:0;height:1.5pt" o:hralign="center" o:hrstd="t" o:hr="t"/>
        </w:pict>
      </w:r>
    </w:p>
    <w:bookmarkStart w:id="19" w:name="why-this-exists"/>
    <w:p>
      <w:pPr>
        <w:pStyle w:val="Heading2"/>
      </w:pPr>
      <w:r>
        <w:t xml:space="preserve">Why this exists</w:t>
      </w:r>
    </w:p>
    <w:p>
      <w:pPr>
        <w:pStyle w:val="FirstParagraph"/>
      </w:pPr>
      <w:r>
        <w:t xml:space="preserve">In late 2019 my wife Laura and I sat in a doctor’s office, looking at each other quietly, absorbing the words</w:t>
      </w:r>
      <w:r>
        <w:t xml:space="preserve"> </w:t>
      </w:r>
      <w:r>
        <w:t xml:space="preserve">“breast cancer.”</w:t>
      </w:r>
    </w:p>
    <w:p>
      <w:pPr>
        <w:pStyle w:val="BodyText"/>
      </w:pPr>
      <w:r>
        <w:t xml:space="preserve">A few months later COVID hit. Laura is a front-line healthcare worker, and protecting her immune system became the constant topic in our house.</w:t>
      </w:r>
    </w:p>
    <w:p>
      <w:pPr>
        <w:pStyle w:val="BodyText"/>
      </w:pPr>
      <w:r>
        <w:t xml:space="preserve">Around that time my co-founder David Letourneau and I began working with physicians from LSU and Baylor on a clinical study using UVB light to support immune response in critically ill COVID patients. The results were a 60 percent reduction in mortality.</w:t>
      </w:r>
    </w:p>
    <w:p>
      <w:pPr>
        <w:pStyle w:val="BodyText"/>
      </w:pPr>
      <w:r>
        <w:t xml:space="preserve">In the course of those discussions the doctors shared another piece of research, and it stopped me cold. Women with Vitamin D levels below 20 ng/mL carry an over 80 percent higher risk of breast cancer. I went back and looked at Laura’s blood work from around the time of her diagnosis.</w:t>
      </w:r>
    </w:p>
    <w:p>
      <w:pPr>
        <w:pStyle w:val="BodyText"/>
      </w:pPr>
      <w:r>
        <w:t xml:space="preserve">She was at 17.</w:t>
      </w:r>
    </w:p>
    <w:p>
      <w:pPr>
        <w:pStyle w:val="BodyText"/>
      </w:pPr>
      <w:r>
        <w:t xml:space="preserve">That number is why Enyrgy exists. Not because a light is interesting, but because the body we loved most was running short of something it needed and nobody had measured it. The technology in this document was built to close that specific gap: to raise a number, and to make it visible.</w:t>
      </w:r>
    </w:p>
    <w:p>
      <w:pPr>
        <w:pStyle w:val="BodyText"/>
      </w:pPr>
      <w:r>
        <w:t xml:space="preserve">Laura’s levels are optimal now.</w:t>
      </w:r>
    </w:p>
    <w:p>
      <w:r>
        <w:pict>
          <v:rect style="width:0;height:1.5pt" o:hralign="center" o:hrstd="t" o:hr="t"/>
        </w:pict>
      </w:r>
    </w:p>
    <w:bookmarkEnd w:id="19"/>
    <w:bookmarkStart w:id="20" w:name="the-technology"/>
    <w:p>
      <w:pPr>
        <w:pStyle w:val="Heading2"/>
      </w:pPr>
      <w:r>
        <w:t xml:space="preserve">The technology</w:t>
      </w:r>
    </w:p>
    <w:p>
      <w:pPr>
        <w:pStyle w:val="FirstParagraph"/>
      </w:pPr>
      <w:r>
        <w:rPr>
          <w:b/>
          <w:bCs/>
        </w:rPr>
        <w:t xml:space="preserve">Enyrgy inverts the spectrum.</w:t>
      </w:r>
      <w:r>
        <w:t xml:space="preserve"> </w:t>
      </w:r>
      <w:r>
        <w:t xml:space="preserve">Sunlight is roughly 95 percent UVA. Enyrgy is over 90 percent UVB and under 10 percent UVA. That is the whole design, because Vitamin D synthesis requires UVB in the 280 to 315 nm band. Visible-light and circadian lamps emit no UVB at all and cannot trigger it, whatever else they do.</w:t>
      </w:r>
    </w:p>
    <w:p>
      <w:pPr>
        <w:pStyle w:val="BodyText"/>
      </w:pPr>
      <w:r>
        <w:rPr>
          <w:b/>
          <w:bCs/>
        </w:rPr>
        <w:t xml:space="preserve">The dose is calculated, not timed.</w:t>
      </w:r>
      <w:r>
        <w:t xml:space="preserve"> </w:t>
      </w:r>
      <w:r>
        <w:t xml:space="preserve">The app reads each user’s Fitzpatrick skin type, sets that person’s dose, and ends the session automatically. Nobody is estimating, and nobody is watching a clock. That is the difference between this and a tanning bed, which delivers the wrong part of the spectrum with no dosing control at all.</w:t>
      </w:r>
    </w:p>
    <w:p>
      <w:pPr>
        <w:pStyle w:val="BodyText"/>
      </w:pPr>
      <w:r>
        <w:rPr>
          <w:b/>
          <w:bCs/>
        </w:rPr>
        <w:t xml:space="preserve">One session, three pathways.</w:t>
      </w:r>
      <w:r>
        <w:t xml:space="preserve"> </w:t>
      </w:r>
      <w:r>
        <w:t xml:space="preserve">Vitamin D, nitric oxide, and serotonin. A capsule opens one of them.</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Pr>
      <w:tblGrid>
        <w:gridCol w:w="3960"/>
        <w:gridCol w:w="3960"/>
      </w:tblGrid>
      <w:tr>
        <w:tc>
          <w:tcPr/>
          <w:p>
            <w:pPr>
              <w:pStyle w:val="Compact"/>
            </w:pPr>
            <w:r>
              <w:rPr>
                <w:b/>
                <w:bCs/>
              </w:rPr>
              <w:t xml:space="preserve">2.4x</w:t>
            </w:r>
          </w:p>
        </w:tc>
        <w:tc>
          <w:tcPr/>
          <w:p>
            <w:pPr>
              <w:pStyle w:val="Compact"/>
            </w:pPr>
            <w:r>
              <w:t xml:space="preserve">more efficient than sunlight for Vitamin D. Two to four minutes replaces two to four hours of sun.</w:t>
            </w:r>
          </w:p>
        </w:tc>
      </w:tr>
      <w:tr>
        <w:tc>
          <w:tcPr/>
          <w:p>
            <w:pPr>
              <w:pStyle w:val="Compact"/>
            </w:pPr>
            <w:r>
              <w:rPr>
                <w:b/>
                <w:bCs/>
              </w:rPr>
              <w:t xml:space="preserve">25,000+</w:t>
            </w:r>
          </w:p>
        </w:tc>
        <w:tc>
          <w:tcPr/>
          <w:p>
            <w:pPr>
              <w:pStyle w:val="Compact"/>
            </w:pPr>
            <w:r>
              <w:t xml:space="preserve">sessions completed, zero burns and zero adverse events</w:t>
            </w:r>
          </w:p>
        </w:tc>
      </w:tr>
      <w:tr>
        <w:tc>
          <w:tcPr/>
          <w:p>
            <w:pPr>
              <w:pStyle w:val="Compact"/>
            </w:pPr>
            <w:r>
              <w:rPr>
                <w:b/>
                <w:bCs/>
              </w:rPr>
              <w:t xml:space="preserve">Under 1%</w:t>
            </w:r>
          </w:p>
        </w:tc>
        <w:tc>
          <w:tcPr/>
          <w:p>
            <w:pPr>
              <w:pStyle w:val="Compact"/>
            </w:pPr>
            <w:r>
              <w:t xml:space="preserve">return rate, against an industry norm of 5 to 10 percent</w:t>
            </w:r>
          </w:p>
        </w:tc>
      </w:tr>
      <w:tr>
        <w:tc>
          <w:tcPr/>
          <w:p>
            <w:pPr>
              <w:pStyle w:val="Compact"/>
            </w:pPr>
            <w:r>
              <w:rPr>
                <w:b/>
                <w:bCs/>
              </w:rPr>
              <w:t xml:space="preserve">76.6%</w:t>
            </w:r>
          </w:p>
        </w:tc>
        <w:tc>
          <w:tcPr/>
          <w:p>
            <w:pPr>
              <w:pStyle w:val="Compact"/>
            </w:pPr>
            <w:r>
              <w:t xml:space="preserve">of people worldwide have Vitamin D below 30 ng/mL (Cui et al., Frontiers in Nutrition, 2023)</w:t>
            </w:r>
          </w:p>
        </w:tc>
      </w:tr>
      <w:tr>
        <w:tc>
          <w:tcPr/>
          <w:p>
            <w:pPr>
              <w:pStyle w:val="Compact"/>
            </w:pPr>
            <w:r>
              <w:rPr>
                <w:b/>
                <w:bCs/>
              </w:rPr>
              <w:t xml:space="preserve">+111%</w:t>
            </w:r>
          </w:p>
        </w:tc>
        <w:tc>
          <w:tcPr/>
          <w:p>
            <w:pPr>
              <w:pStyle w:val="Compact"/>
            </w:pPr>
            <w:r>
              <w:t xml:space="preserve">average increase in our own 12 week study of five participants, set out in full below</w:t>
            </w:r>
          </w:p>
        </w:tc>
      </w:tr>
    </w:tbl>
    <w:bookmarkEnd w:id="20"/>
    <w:bookmarkStart w:id="21" w:name="why-not-a-capsule"/>
    <w:p>
      <w:pPr>
        <w:pStyle w:val="Heading2"/>
      </w:pPr>
      <w:r>
        <w:t xml:space="preserve">Why not a capsule</w:t>
      </w:r>
    </w:p>
    <w:p>
      <w:pPr>
        <w:pStyle w:val="FirstParagraph"/>
      </w:pPr>
      <w:r>
        <w:t xml:space="preserve">Where supplements sit on your shelf, they are one lane. In research clinical trials, about one in four participants were low responders to Vitamin D supplementation, so a capsule does not reliably move the number for everyone.</w:t>
      </w:r>
    </w:p>
    <w:p>
      <w:pPr>
        <w:pStyle w:val="BodyText"/>
      </w:pPr>
      <w:r>
        <w:t xml:space="preserve">This does, and your own blood work is the proof. That is the practical distinction: a supplement is a hope, a session plus a lab draw is a measurement.</w:t>
      </w:r>
    </w:p>
    <w:bookmarkEnd w:id="21"/>
    <w:bookmarkStart w:id="22" w:name="X21a19599e2bc041912ab468af8bbbc6d8280c95"/>
    <w:p>
      <w:pPr>
        <w:pStyle w:val="Heading2"/>
      </w:pPr>
      <w:r>
        <w:t xml:space="preserve">What we measured, and what it does not show</w:t>
      </w:r>
    </w:p>
    <w:p>
      <w:pPr>
        <w:pStyle w:val="FirstParagraph"/>
      </w:pPr>
      <w:r>
        <w:t xml:space="preserve">Twelve weeks. Five healthy adults, skin types II to IV, four to six sessions a week. No control group.</w:t>
      </w:r>
    </w:p>
    <w:p>
      <w:pPr>
        <w:pStyle w:val="BodyText"/>
      </w:pPr>
      <w:r>
        <w:rPr>
          <w:b/>
          <w:bCs/>
        </w:rPr>
        <w:t xml:space="preserve">This is our own study, not independent research, and five people is a small study.</w:t>
      </w:r>
      <w:r>
        <w:t xml:space="preserve"> </w:t>
      </w:r>
      <w:r>
        <w:t xml:space="preserve">We would rather hand you every row than an average.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Participant</w:t>
            </w:r>
          </w:p>
        </w:tc>
        <w:tc>
          <w:tcPr/>
          <w:p>
            <w:pPr>
              <w:pStyle w:val="Compact"/>
            </w:pPr>
            <w:r>
              <w:t xml:space="preserve">Skin type</w:t>
            </w:r>
          </w:p>
        </w:tc>
        <w:tc>
          <w:tcPr/>
          <w:p>
            <w:pPr>
              <w:pStyle w:val="Compact"/>
            </w:pPr>
            <w:r>
              <w:t xml:space="preserve">Start, ng/mL</w:t>
            </w:r>
          </w:p>
        </w:tc>
        <w:tc>
          <w:tcPr/>
          <w:p>
            <w:pPr>
              <w:pStyle w:val="Compact"/>
            </w:pPr>
            <w:r>
              <w:t xml:space="preserve">End, ng/mL</w:t>
            </w:r>
          </w:p>
        </w:tc>
      </w:tr>
      <w:tr>
        <w:tc>
          <w:tcPr/>
          <w:p>
            <w:pPr>
              <w:pStyle w:val="Compact"/>
            </w:pPr>
            <w:r>
              <w:t xml:space="preserve">P1</w:t>
            </w:r>
          </w:p>
        </w:tc>
        <w:tc>
          <w:tcPr/>
          <w:p>
            <w:pPr>
              <w:pStyle w:val="Compact"/>
            </w:pPr>
            <w:r>
              <w:t xml:space="preserve">II</w:t>
            </w:r>
          </w:p>
        </w:tc>
        <w:tc>
          <w:tcPr/>
          <w:p>
            <w:pPr>
              <w:pStyle w:val="Compact"/>
            </w:pPr>
            <w:r>
              <w:t xml:space="preserve">38.4</w:t>
            </w:r>
          </w:p>
        </w:tc>
        <w:tc>
          <w:tcPr/>
          <w:p>
            <w:pPr>
              <w:pStyle w:val="Compact"/>
            </w:pPr>
            <w:r>
              <w:t xml:space="preserve">86.0</w:t>
            </w:r>
          </w:p>
        </w:tc>
      </w:tr>
      <w:tr>
        <w:tc>
          <w:tcPr/>
          <w:p>
            <w:pPr>
              <w:pStyle w:val="Compact"/>
            </w:pPr>
            <w:r>
              <w:t xml:space="preserve">P2</w:t>
            </w:r>
          </w:p>
        </w:tc>
        <w:tc>
          <w:tcPr/>
          <w:p>
            <w:pPr>
              <w:pStyle w:val="Compact"/>
            </w:pPr>
            <w:r>
              <w:t xml:space="preserve">III</w:t>
            </w:r>
          </w:p>
        </w:tc>
        <w:tc>
          <w:tcPr/>
          <w:p>
            <w:pPr>
              <w:pStyle w:val="Compact"/>
            </w:pPr>
            <w:r>
              <w:t xml:space="preserve">34.0</w:t>
            </w:r>
          </w:p>
        </w:tc>
        <w:tc>
          <w:tcPr/>
          <w:p>
            <w:pPr>
              <w:pStyle w:val="Compact"/>
            </w:pPr>
            <w:r>
              <w:t xml:space="preserve">88.4</w:t>
            </w:r>
          </w:p>
        </w:tc>
      </w:tr>
      <w:tr>
        <w:tc>
          <w:tcPr/>
          <w:p>
            <w:pPr>
              <w:pStyle w:val="Compact"/>
            </w:pPr>
            <w:r>
              <w:t xml:space="preserve">P3</w:t>
            </w:r>
          </w:p>
        </w:tc>
        <w:tc>
          <w:tcPr/>
          <w:p>
            <w:pPr>
              <w:pStyle w:val="Compact"/>
            </w:pPr>
            <w:r>
              <w:t xml:space="preserve">III</w:t>
            </w:r>
          </w:p>
        </w:tc>
        <w:tc>
          <w:tcPr/>
          <w:p>
            <w:pPr>
              <w:pStyle w:val="Compact"/>
            </w:pPr>
            <w:r>
              <w:t xml:space="preserve">37.0</w:t>
            </w:r>
          </w:p>
        </w:tc>
        <w:tc>
          <w:tcPr/>
          <w:p>
            <w:pPr>
              <w:pStyle w:val="Compact"/>
            </w:pPr>
            <w:r>
              <w:t xml:space="preserve">78.0</w:t>
            </w:r>
          </w:p>
        </w:tc>
      </w:tr>
      <w:tr>
        <w:tc>
          <w:tcPr/>
          <w:p>
            <w:pPr>
              <w:pStyle w:val="Compact"/>
            </w:pPr>
            <w:r>
              <w:t xml:space="preserve">P4</w:t>
            </w:r>
          </w:p>
        </w:tc>
        <w:tc>
          <w:tcPr/>
          <w:p>
            <w:pPr>
              <w:pStyle w:val="Compact"/>
            </w:pPr>
            <w:r>
              <w:t xml:space="preserve">IV</w:t>
            </w:r>
          </w:p>
        </w:tc>
        <w:tc>
          <w:tcPr/>
          <w:p>
            <w:pPr>
              <w:pStyle w:val="Compact"/>
            </w:pPr>
            <w:r>
              <w:t xml:space="preserve">47.0</w:t>
            </w:r>
          </w:p>
        </w:tc>
        <w:tc>
          <w:tcPr/>
          <w:p>
            <w:pPr>
              <w:pStyle w:val="Compact"/>
            </w:pPr>
            <w:r>
              <w:t xml:space="preserve">88.7</w:t>
            </w:r>
          </w:p>
        </w:tc>
      </w:tr>
      <w:tr>
        <w:tc>
          <w:tcPr/>
          <w:p>
            <w:pPr>
              <w:pStyle w:val="Compact"/>
            </w:pPr>
            <w:r>
              <w:t xml:space="preserve">P5</w:t>
            </w:r>
          </w:p>
        </w:tc>
        <w:tc>
          <w:tcPr/>
          <w:p>
            <w:pPr>
              <w:pStyle w:val="Compact"/>
            </w:pPr>
            <w:r>
              <w:t xml:space="preserve">III</w:t>
            </w:r>
          </w:p>
        </w:tc>
        <w:tc>
          <w:tcPr/>
          <w:p>
            <w:pPr>
              <w:pStyle w:val="Compact"/>
            </w:pPr>
            <w:r>
              <w:t xml:space="preserve">43.4</w:t>
            </w:r>
          </w:p>
        </w:tc>
        <w:tc>
          <w:tcPr/>
          <w:p>
            <w:pPr>
              <w:pStyle w:val="Compact"/>
            </w:pPr>
            <w:r>
              <w:t xml:space="preserve">79.9</w:t>
            </w:r>
          </w:p>
        </w:tc>
      </w:tr>
      <w:tr>
        <w:tc>
          <w:tcPr/>
          <w:p>
            <w:pPr>
              <w:pStyle w:val="Compact"/>
            </w:pPr>
            <w:r>
              <w:rPr>
                <w:b/>
                <w:bCs/>
              </w:rPr>
              <w:t xml:space="preserve">Average</w:t>
            </w:r>
          </w:p>
        </w:tc>
        <w:tc>
          <w:tcPr/>
          <w:p>
            <w:pPr>
              <w:pStyle w:val="Compact"/>
            </w:pPr>
          </w:p>
        </w:tc>
        <w:tc>
          <w:tcPr/>
          <w:p>
            <w:pPr>
              <w:pStyle w:val="Compact"/>
            </w:pPr>
            <w:r>
              <w:rPr>
                <w:b/>
                <w:bCs/>
              </w:rPr>
              <w:t xml:space="preserve">39.96</w:t>
            </w:r>
          </w:p>
        </w:tc>
        <w:tc>
          <w:tcPr/>
          <w:p>
            <w:pPr>
              <w:pStyle w:val="Compact"/>
            </w:pPr>
            <w:r>
              <w:rPr>
                <w:b/>
                <w:bCs/>
              </w:rPr>
              <w:t xml:space="preserve">84.20</w:t>
            </w:r>
          </w:p>
        </w:tc>
      </w:tr>
    </w:tbl>
    <w:p>
      <w:pPr>
        <w:pStyle w:val="BodyText"/>
      </w:pPr>
      <w:r>
        <w:t xml:space="preserve">A 111 percent average increase. Every participant started insufficient or borderline, every one reached optimal, and nobody dropped out.</w:t>
      </w:r>
    </w:p>
    <w:p>
      <w:pPr>
        <w:pStyle w:val="BodyText"/>
      </w:pPr>
      <w:r>
        <w:t xml:space="preserve">What it shows is narrow and real: in a small group, consistent sessions moved the number, and moved it in all five. What it does not show is a controlled effect size, and we are not going to claim one from five people.</w:t>
      </w:r>
    </w:p>
    <w:p>
      <w:pPr>
        <w:pStyle w:val="BodyText"/>
      </w:pPr>
      <w:r>
        <w:rPr>
          <w:b/>
          <w:bCs/>
        </w:rPr>
        <w:t xml:space="preserve">The honest limit on that result.</w:t>
      </w:r>
      <w:r>
        <w:t xml:space="preserve"> </w:t>
      </w:r>
      <w:r>
        <w:t xml:space="preserve">Some people do not respond well to UVB because of polymorphisms in genes governing Vitamin D metabolism, GC, CYP2R1 and DHCR7 among them. A patient with these may not reach optimal, through no failure of the platform. This is a non-response caveat and not a safety exclusion, and testing before and after is what settles it for any individual, which is what we recommend regardless.</w:t>
      </w:r>
    </w:p>
    <w:p>
      <w:pPr>
        <w:pStyle w:val="BodyText"/>
      </w:pPr>
      <w:r>
        <w:t xml:space="preserve">Worth being precise about the overlap: this is not a supplement problem that light escapes. GC and CYP2R1 act on Vitamin D once it is in circulation, whichever route it arrived by, so they bear on both. DHCR7 governs the substrate available in skin, so it is specific to the light pathway. The platform opens three pathways instead of one and is far more efficient at the Vitamin D pathway. It does not make Vitamin D genetics irrelevant.</w:t>
      </w:r>
    </w:p>
    <w:p>
      <w:pPr>
        <w:pStyle w:val="BodyText"/>
      </w:pPr>
      <w:r>
        <w:t xml:space="preserve">The study that will matter to you is the one you run in your own patient population, with your own lab.</w:t>
      </w:r>
    </w:p>
    <w:bookmarkEnd w:id="22"/>
    <w:bookmarkStart w:id="23" w:name="the-people-behind-the-protocol"/>
    <w:p>
      <w:pPr>
        <w:pStyle w:val="Heading2"/>
      </w:pPr>
      <w:r>
        <w:t xml:space="preserve">The people behind the protocol</w:t>
      </w:r>
    </w:p>
    <w:p>
      <w:pPr>
        <w:pStyle w:val="FirstParagraph"/>
      </w:pPr>
      <w:r>
        <w:t xml:space="preserve">Our scientific advisory board includes</w:t>
      </w:r>
      <w:r>
        <w:t xml:space="preserve"> </w:t>
      </w:r>
      <w:r>
        <w:rPr>
          <w:b/>
          <w:bCs/>
        </w:rPr>
        <w:t xml:space="preserve">Dr. Bruce Hollis</w:t>
      </w:r>
      <w:r>
        <w:t xml:space="preserve">, who has reviewed and endorsed the platform and is among the most cited Vitamin D researchers in the world;</w:t>
      </w:r>
      <w:r>
        <w:t xml:space="preserve"> </w:t>
      </w:r>
      <w:r>
        <w:rPr>
          <w:b/>
          <w:bCs/>
        </w:rPr>
        <w:t xml:space="preserve">Dr. Samantha Kimball</w:t>
      </w:r>
      <w:r>
        <w:t xml:space="preserve">, who designed the dosing protocol behind every session; and</w:t>
      </w:r>
      <w:r>
        <w:t xml:space="preserve"> </w:t>
      </w:r>
      <w:r>
        <w:rPr>
          <w:b/>
          <w:bCs/>
        </w:rPr>
        <w:t xml:space="preserve">Dr. William Grant</w:t>
      </w:r>
      <w:r>
        <w:t xml:space="preserve">, a global Vitamin D and UVB researcher.</w:t>
      </w:r>
    </w:p>
    <w:p>
      <w:pPr>
        <w:pStyle w:val="BodyText"/>
      </w:pPr>
      <w:r>
        <w:t xml:space="preserve">600 plus users across five countries. Made in the USA in Phoenix, Arizona.</w:t>
      </w:r>
    </w:p>
    <w:bookmarkEnd w:id="23"/>
    <w:bookmarkStart w:id="24" w:name="contraindications-and-screening"/>
    <w:p>
      <w:pPr>
        <w:pStyle w:val="Heading2"/>
      </w:pPr>
      <w:r>
        <w:t xml:space="preserve">Contraindications and screening</w:t>
      </w:r>
    </w:p>
    <w:p>
      <w:pPr>
        <w:pStyle w:val="FirstParagraph"/>
      </w:pPr>
      <w:r>
        <w:t xml:space="preserve">This is the list that ships in the User Guide with every unit, reproduced as written. In your setting the screening is yours to run, and this is what you would screen against.</w:t>
      </w:r>
    </w:p>
    <w:p>
      <w:pPr>
        <w:pStyle w:val="BlockText"/>
      </w:pPr>
      <w:r>
        <w:rPr>
          <w:b/>
          <w:bCs/>
        </w:rPr>
        <w:t xml:space="preserve">Contraindicated</w:t>
      </w:r>
    </w:p>
    <w:p>
      <w:pPr>
        <w:pStyle w:val="BlockText"/>
      </w:pPr>
      <w:r>
        <w:t xml:space="preserve">We recommend consulting your doctor to evaluate whether Enyrgy Light Therapy is right for you.</w:t>
      </w:r>
    </w:p>
    <w:p>
      <w:pPr>
        <w:pStyle w:val="Compact"/>
        <w:numPr>
          <w:ilvl w:val="0"/>
          <w:numId w:val="1001"/>
        </w:numPr>
      </w:pPr>
      <w:r>
        <w:t xml:space="preserve">Do not use if Pregnant</w:t>
      </w:r>
    </w:p>
    <w:p>
      <w:pPr>
        <w:pStyle w:val="Compact"/>
        <w:numPr>
          <w:ilvl w:val="0"/>
          <w:numId w:val="1001"/>
        </w:numPr>
      </w:pPr>
      <w:r>
        <w:t xml:space="preserve">Do not use if diagnosed with UV Light Sensitivity</w:t>
      </w:r>
    </w:p>
    <w:p>
      <w:pPr>
        <w:pStyle w:val="Compact"/>
        <w:numPr>
          <w:ilvl w:val="0"/>
          <w:numId w:val="1001"/>
        </w:numPr>
      </w:pPr>
      <w:r>
        <w:t xml:space="preserve">Do not use if on photosensitizing medication</w:t>
      </w:r>
    </w:p>
    <w:p>
      <w:pPr>
        <w:pStyle w:val="Compact"/>
        <w:numPr>
          <w:ilvl w:val="0"/>
          <w:numId w:val="1001"/>
        </w:numPr>
      </w:pPr>
      <w:r>
        <w:t xml:space="preserve">Do not use if diagnosed with HIV-AIDS</w:t>
      </w:r>
    </w:p>
    <w:p>
      <w:pPr>
        <w:pStyle w:val="Compact"/>
        <w:numPr>
          <w:ilvl w:val="0"/>
          <w:numId w:val="1001"/>
        </w:numPr>
      </w:pPr>
      <w:r>
        <w:t xml:space="preserve">Do not use if diagnosed with Active Skin Cancer</w:t>
      </w:r>
    </w:p>
    <w:p>
      <w:pPr>
        <w:pStyle w:val="Compact"/>
        <w:numPr>
          <w:ilvl w:val="0"/>
          <w:numId w:val="1001"/>
        </w:numPr>
      </w:pPr>
      <w:r>
        <w:t xml:space="preserve">Do not use if diagnosed with UV light sensitivities: Protoporphyria (EPP), UV-sensitive syndrome, Photodermatitis, Xeroderma pigmentosum (XP), Lupus erythematosus, or Actinic dermatitis</w:t>
      </w:r>
    </w:p>
    <w:p>
      <w:pPr>
        <w:pStyle w:val="Compact"/>
        <w:numPr>
          <w:ilvl w:val="0"/>
          <w:numId w:val="1001"/>
        </w:numPr>
      </w:pPr>
      <w:r>
        <w:t xml:space="preserve">Do not use if diagnosed with UV light allergies: Actinic prurigo (hereditary PMLE), Polymorphous light eruption (PMLE), or Solar urticaria</w:t>
      </w:r>
    </w:p>
    <w:p>
      <w:pPr>
        <w:pStyle w:val="FirstParagraph"/>
      </w:pPr>
      <w:r>
        <w:t xml:space="preserve">A minimum age of 18 applies on top of this list.</w:t>
      </w:r>
    </w:p>
    <w:p>
      <w:pPr>
        <w:pStyle w:val="BlockText"/>
      </w:pPr>
      <w:r>
        <w:rPr>
          <w:b/>
          <w:bCs/>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rPr>
          <w:b/>
          <w:bCs/>
        </w:rPr>
        <w:t xml:space="preserve">Photosensitizing medication is the entry that carries real physical risk, and it is the one your setting is built to catch.</w:t>
      </w:r>
    </w:p>
    <w:p>
      <w:pPr>
        <w:pStyle w:val="BodyText"/>
      </w:pPr>
      <w:r>
        <w:t xml:space="preserve">The other entries describe conditions a person already knows they have. This one is different. It is invisible to the device: the app doses on Fitzpatrick skin type and has no knowledge of what anyone takes. Photosensitizing drugs lower the dose at which skin burns, so a dose set correctly for a skin type can exceed what that particular person’s skin tolerates.</w:t>
      </w:r>
      <w:r>
        <w:t xml:space="preserve"> </w:t>
      </w:r>
      <w:r>
        <w:rPr>
          <w:b/>
          <w:bCs/>
        </w:rPr>
        <w:t xml:space="preserve">The automatic cutoff does not protect against this, because the variable it doses on is not the variable that changed.</w:t>
      </w:r>
    </w:p>
    <w:p>
      <w:pPr>
        <w:pStyle w:val="BodyText"/>
      </w:pPr>
      <w:r>
        <w:t xml:space="preserve">Our safety record does not speak to this in either direction. We do not screen for photosensitizing drugs and do not record them, so nobody knows how many of the 25,000 plus sessions involved someone taking one. That figure shows the dosing protocol has been safe across the people who have used it. It is not evidence that the protocol is safe for a photosensitized user, and it is not evidence of harm. It is silent, because the variable was never measured.</w:t>
      </w:r>
    </w:p>
    <w:p>
      <w:pPr>
        <w:pStyle w:val="BodyText"/>
      </w:pPr>
      <w:r>
        <w:t xml:space="preserve">The category is wide and includes drugs nobody associates with sunlight, and photosensitivity can outlast the last dose, so having stopped is not the same as clear. For a consumer this is a question they have to take to a physician.</w:t>
      </w:r>
      <w:r>
        <w:t xml:space="preserve"> </w:t>
      </w:r>
      <w:r>
        <w:rPr>
          <w:b/>
          <w:bCs/>
        </w:rPr>
        <w:t xml:space="preserve">In your center it is already answerable, because you hold the medication list.</w:t>
      </w:r>
      <w:r>
        <w:t xml:space="preserve"> </w:t>
      </w:r>
      <w:r>
        <w:t xml:space="preserve">That is a genuine advantage of running this in a clinical setting rather than a retail one, and it is the reason we would rather hand you the list than leave it in a manual.</w:t>
      </w:r>
    </w:p>
    <w:p>
      <w:pPr>
        <w:pStyle w:val="BodyText"/>
      </w:pPr>
      <w:r>
        <w:rPr>
          <w:b/>
          <w:bCs/>
        </w:rPr>
        <w:t xml:space="preserve">Absence from this list is not clearance.</w:t>
      </w:r>
      <w:r>
        <w:t xml:space="preserve"> </w:t>
      </w:r>
      <w:r>
        <w:t xml:space="preserve">It names what it names, and whether a given patient should use the platform is your care team’s determination, not ours.</w:t>
      </w:r>
    </w:p>
    <w:p>
      <w:r>
        <w:pict>
          <v:rect style="width:0;height:1.5pt" o:hralign="center" o:hrstd="t" o:hr="t"/>
        </w:pict>
      </w:r>
    </w:p>
    <w:bookmarkEnd w:id="24"/>
    <w:bookmarkStart w:id="25" w:name="where-it-fits-in-your-service-line"/>
    <w:p>
      <w:pPr>
        <w:pStyle w:val="Heading2"/>
      </w:pPr>
      <w:r>
        <w:t xml:space="preserve">Where it fits in your service line</w:t>
      </w:r>
    </w:p>
    <w:p>
      <w:pPr>
        <w:pStyle w:val="FirstParagraph"/>
      </w:pPr>
      <w:r>
        <w:t xml:space="preserve">This is not a new category for you. You already run LED laser, infrared beds, and frequency and voltage. Your team and your patients already believe in light. This is simply the Vitamin D one, the light that raises a number you and your patients can watch on a lab draw.</w:t>
      </w:r>
    </w:p>
    <w:p>
      <w:pPr>
        <w:pStyle w:val="BodyText"/>
      </w:pPr>
      <w:r>
        <w:rPr>
          <w:b/>
          <w:bCs/>
        </w:rPr>
        <w:t xml:space="preserve">You will not have to create demand for it.</w:t>
      </w:r>
      <w:r>
        <w:t xml:space="preserve"> </w:t>
      </w:r>
      <w:r>
        <w:t xml:space="preserve">In a 2023 pooled analysis of 308 population studies across 81 countries and 7.9 million people, 76.6 percent were below 30 ng/mL. Those patients are already walking through your doors. What is missing is not interest, it is measurement, and measurement is a lab draw you already run.</w:t>
      </w:r>
    </w:p>
    <w:bookmarkEnd w:id="25"/>
    <w:bookmarkStart w:id="26" w:name="two-revenue-lines-from-one-platform"/>
    <w:p>
      <w:pPr>
        <w:pStyle w:val="Heading2"/>
      </w:pPr>
      <w:r>
        <w:t xml:space="preserve">Two revenue lines from one platform</w:t>
      </w:r>
    </w:p>
    <w:p>
      <w:pPr>
        <w:pStyle w:val="FirstParagraph"/>
      </w:pPr>
      <w:r>
        <w:t xml:space="preserve">In-clinic, patients add it as a modality at $125 a month in your market. It also fits how your patients move through the center: those who are on-site a week and home for two can do sessions with you and take a unit home from your shop to hold their levels between visits.</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In-clinic patients on the modality</w:t>
            </w:r>
          </w:p>
        </w:tc>
        <w:tc>
          <w:tcPr/>
          <w:p>
            <w:pPr>
              <w:pStyle w:val="Compact"/>
            </w:pPr>
            <w:r>
              <w:t xml:space="preserve">Monthly</w:t>
            </w:r>
          </w:p>
        </w:tc>
        <w:tc>
          <w:tcPr/>
          <w:p>
            <w:pPr>
              <w:pStyle w:val="Compact"/>
            </w:pPr>
            <w:r>
              <w:t xml:space="preserve">Annual</w:t>
            </w:r>
          </w:p>
        </w:tc>
      </w:tr>
      <w:tr>
        <w:tc>
          <w:tcPr/>
          <w:p>
            <w:pPr>
              <w:pStyle w:val="Compact"/>
            </w:pPr>
            <w:r>
              <w:t xml:space="preserve">25 patients</w:t>
            </w:r>
          </w:p>
        </w:tc>
        <w:tc>
          <w:tcPr/>
          <w:p>
            <w:pPr>
              <w:pStyle w:val="Compact"/>
            </w:pPr>
            <w:r>
              <w:t xml:space="preserve">$3,125</w:t>
            </w:r>
          </w:p>
        </w:tc>
        <w:tc>
          <w:tcPr/>
          <w:p>
            <w:pPr>
              <w:pStyle w:val="Compact"/>
            </w:pPr>
            <w:r>
              <w:t xml:space="preserve">$37,500</w:t>
            </w:r>
          </w:p>
        </w:tc>
      </w:tr>
      <w:tr>
        <w:tc>
          <w:tcPr/>
          <w:p>
            <w:pPr>
              <w:pStyle w:val="Compact"/>
            </w:pPr>
            <w:r>
              <w:t xml:space="preserve">50 patients</w:t>
            </w:r>
          </w:p>
        </w:tc>
        <w:tc>
          <w:tcPr/>
          <w:p>
            <w:pPr>
              <w:pStyle w:val="Compact"/>
            </w:pPr>
            <w:r>
              <w:t xml:space="preserve">$6,250</w:t>
            </w:r>
          </w:p>
        </w:tc>
        <w:tc>
          <w:tcPr/>
          <w:p>
            <w:pPr>
              <w:pStyle w:val="Compact"/>
            </w:pPr>
            <w:r>
              <w:t xml:space="preserve">$75,000</w:t>
            </w:r>
          </w:p>
        </w:tc>
      </w:tr>
      <w:tr>
        <w:tc>
          <w:tcPr/>
          <w:p>
            <w:pPr>
              <w:pStyle w:val="Compact"/>
            </w:pPr>
            <w:r>
              <w:t xml:space="preserve">100 patients</w:t>
            </w:r>
          </w:p>
        </w:tc>
        <w:tc>
          <w:tcPr/>
          <w:p>
            <w:pPr>
              <w:pStyle w:val="Compact"/>
            </w:pPr>
            <w:r>
              <w:t xml:space="preserve">$12,500</w:t>
            </w:r>
          </w:p>
        </w:tc>
        <w:tc>
          <w:tcPr/>
          <w:p>
            <w:pPr>
              <w:pStyle w:val="Compact"/>
            </w:pPr>
            <w:r>
              <w:t xml:space="preserve">$150,000</w:t>
            </w:r>
          </w:p>
        </w:tc>
      </w:tr>
    </w:tbl>
    <w:p>
      <w:pPr>
        <w:pStyle w:val="BodyText"/>
      </w:pPr>
      <w:r>
        <w:t xml:space="preserve">The commercial unit is</w:t>
      </w:r>
      <w:r>
        <w:t xml:space="preserve"> </w:t>
      </w:r>
      <w:r>
        <w:rPr>
          <w:b/>
          <w:bCs/>
        </w:rPr>
        <w:t xml:space="preserve">$8,950</w:t>
      </w:r>
      <w:r>
        <w:t xml:space="preserve">, with payback in under three months at just 25 patients on the modality.</w:t>
      </w:r>
    </w:p>
    <w:p>
      <w:pPr>
        <w:pStyle w:val="BodyText"/>
      </w:pPr>
      <w:r>
        <w:rPr>
          <w:b/>
          <w:bCs/>
        </w:rPr>
        <w:t xml:space="preserve">Footprint.</w:t>
      </w:r>
      <w:r>
        <w:t xml:space="preserve"> </w:t>
      </w:r>
      <w:r>
        <w:t xml:space="preserve">Roughly four feet by four feet. It does not need a dedicated room; most facilities site it in a hallway or an alcove where a patient can take a session while waiting on another modality.</w:t>
      </w:r>
    </w:p>
    <w:p>
      <w:pPr>
        <w:pStyle w:val="BodyText"/>
      </w:pPr>
      <w:r>
        <w:rPr>
          <w:b/>
          <w:bCs/>
        </w:rPr>
        <w:t xml:space="preserve">The second line.</w:t>
      </w:r>
      <w:r>
        <w:t xml:space="preserve"> </w:t>
      </w:r>
      <w:r>
        <w:t xml:space="preserve">Take-home units add about $600 per device to your shop, a margin line on top of the in-clinic recurring revenue.</w:t>
      </w:r>
    </w:p>
    <w:bookmarkEnd w:id="26"/>
    <w:bookmarkStart w:id="27" w:name="a-note-on-claims"/>
    <w:p>
      <w:pPr>
        <w:pStyle w:val="Heading2"/>
      </w:pPr>
      <w:r>
        <w:t xml:space="preserve">A note on claims</w:t>
      </w:r>
    </w:p>
    <w:p>
      <w:pPr>
        <w:pStyle w:val="FirstParagraph"/>
      </w:pPr>
      <w:r>
        <w:t xml:space="preserve">Enyrgy is a wellness device and makes no medical claims. It raises and documents Vitamin D levels; every clinical conclusion, and every screening decision against the list above, belongs to your care team.</w:t>
      </w:r>
    </w:p>
    <w:p>
      <w:pPr>
        <w:pStyle w:val="BodyText"/>
      </w:pPr>
      <w:r>
        <w:t xml:space="preserve">The story above is ours and the research in it is what moved us to build. It is not a claim about what this platform does for any condition, and we do not make one.</w:t>
      </w:r>
    </w:p>
    <w:p>
      <w:pPr>
        <w:pStyle w:val="BodyText"/>
      </w:pPr>
      <w:r>
        <w:t xml:space="preserve">The study in this document is our own and it is small. We present it with its size attached rather than as a finding. The independent literature is in the reading list that follows, presented as published and including mixed findings, for your clinicians to weigh on their own terms.</w:t>
      </w:r>
    </w:p>
    <w:bookmarkEnd w:id="27"/>
    <w:bookmarkStart w:id="28" w:name="next-step"/>
    <w:p>
      <w:pPr>
        <w:pStyle w:val="Heading2"/>
      </w:pPr>
      <w:r>
        <w:t xml:space="preserve">Next step</w:t>
      </w:r>
    </w:p>
    <w:p>
      <w:pPr>
        <w:pStyle w:val="FirstParagraph"/>
      </w:pPr>
      <w:r>
        <w:t xml:space="preserve">We bring a unit and two of our people to Irvine, set it up, and let your team try it and see both the patient side and the numbers in person. No slides, just the platform itself.</w:t>
      </w:r>
    </w:p>
    <w:p>
      <w:r>
        <w:pict>
          <v:rect style="width:0;height:1.5pt" o:hralign="center" o:hrstd="t" o:hr="t"/>
        </w:pict>
      </w:r>
    </w:p>
    <w:bookmarkEnd w:id="28"/>
    <w:bookmarkEnd w:id="29"/>
    <w:bookmarkStart w:id="34" w:name="Xb1953ebf8a969272cf74045086bc73ff6df9ace"/>
    <w:p>
      <w:pPr>
        <w:pStyle w:val="Heading1"/>
      </w:pPr>
      <w:r>
        <w:t xml:space="preserve">Appendix: Vitamin D status reading list for the clinical team</w:t>
      </w:r>
    </w:p>
    <w:p>
      <w:pPr>
        <w:pStyle w:val="FirstParagraph"/>
      </w:pPr>
      <w:r>
        <w:rPr>
          <w:b/>
          <w:bCs/>
        </w:rPr>
        <w:t xml:space="preserve">Independent research on Vitamin D status.</w:t>
      </w:r>
      <w:r>
        <w:t xml:space="preserve"> </w:t>
      </w:r>
      <w:r>
        <w:t xml:space="preserve">For your clinical team’s own review. The references below are independent, peer reviewed publications. Enyrgy is a wellness device, makes no medical claims, and does not interpret these findings. Vitamin D status is the subject of this literature; Enyrgy is simply a tool to measurably raise and document it. The list is presented as published, including honest, mixed findings, so your clinicians can weigh the evidence on their own terms.</w:t>
      </w:r>
    </w:p>
    <w:bookmarkStart w:id="30" w:name="vitamin-d-and-immune-function"/>
    <w:p>
      <w:pPr>
        <w:pStyle w:val="Heading3"/>
      </w:pPr>
      <w:r>
        <w:t xml:space="preserve">Vitamin D and immune function</w:t>
      </w:r>
    </w:p>
    <w:p>
      <w:pPr>
        <w:pStyle w:val="FirstParagraph"/>
      </w:pPr>
      <w:r>
        <w:rPr>
          <w:b/>
          <w:bCs/>
        </w:rPr>
        <w:t xml:space="preserve">Aranow C.</w:t>
      </w:r>
      <w:r>
        <w:t xml:space="preserve"> </w:t>
      </w:r>
      <w:r>
        <w:t xml:space="preserve">Vitamin D and the Immune System.</w:t>
      </w:r>
      <w:r>
        <w:t xml:space="preserve"> </w:t>
      </w:r>
      <w:r>
        <w:rPr>
          <w:i/>
          <w:iCs/>
        </w:rPr>
        <w:t xml:space="preserve">Journal of Investigative Medicine.</w:t>
      </w:r>
      <w:r>
        <w:t xml:space="preserve"> </w:t>
      </w:r>
      <w:r>
        <w:t xml:space="preserve">2011;59(6):881 to 886.</w:t>
      </w:r>
      <w:r>
        <w:t xml:space="preserve"> </w:t>
      </w:r>
      <w:r>
        <w:t xml:space="preserve">Widely cited review of Vitamin D’s role in innate and adaptive immunity.</w:t>
      </w:r>
      <w:r>
        <w:t xml:space="preserve"> </w:t>
      </w:r>
      <w:r>
        <w:t xml:space="preserve">pubmed.ncbi.nlm.nih.gov/21527855</w:t>
      </w:r>
    </w:p>
    <w:p>
      <w:pPr>
        <w:pStyle w:val="BodyText"/>
      </w:pPr>
      <w:r>
        <w:rPr>
          <w:b/>
          <w:bCs/>
        </w:rPr>
        <w:t xml:space="preserve">Charoenngam N, Holick MF.</w:t>
      </w:r>
      <w:r>
        <w:t xml:space="preserve"> </w:t>
      </w:r>
      <w:r>
        <w:t xml:space="preserve">Immunologic Effects of Vitamin D on Human Health and Disease.</w:t>
      </w:r>
      <w:r>
        <w:t xml:space="preserve"> </w:t>
      </w:r>
      <w:r>
        <w:rPr>
          <w:i/>
          <w:iCs/>
        </w:rPr>
        <w:t xml:space="preserve">Nutrients.</w:t>
      </w:r>
      <w:r>
        <w:t xml:space="preserve"> </w:t>
      </w:r>
      <w:r>
        <w:t xml:space="preserve">2020;12(7):2097.</w:t>
      </w:r>
      <w:r>
        <w:t xml:space="preserve"> </w:t>
      </w:r>
      <w:r>
        <w:t xml:space="preserve">Comprehensive review of Vitamin D’s immunologic mechanisms across health and disease states.</w:t>
      </w:r>
      <w:r>
        <w:t xml:space="preserve"> </w:t>
      </w:r>
      <w:r>
        <w:t xml:space="preserve">doi.org/10.3390/nu12072097</w:t>
      </w:r>
    </w:p>
    <w:p>
      <w:pPr>
        <w:pStyle w:val="BodyText"/>
      </w:pPr>
      <w:r>
        <w:rPr>
          <w:b/>
          <w:bCs/>
        </w:rPr>
        <w:t xml:space="preserve">Martineau AR, et al.</w:t>
      </w:r>
      <w:r>
        <w:t xml:space="preserve"> </w:t>
      </w:r>
      <w:r>
        <w:t xml:space="preserve">Vitamin D supplementation to prevent acute respiratory tract infections: systematic review and meta-analysis of individual participant data.</w:t>
      </w:r>
      <w:r>
        <w:t xml:space="preserve"> </w:t>
      </w:r>
      <w:r>
        <w:rPr>
          <w:i/>
          <w:iCs/>
        </w:rPr>
        <w:t xml:space="preserve">BMJ.</w:t>
      </w:r>
      <w:r>
        <w:t xml:space="preserve"> </w:t>
      </w:r>
      <w:r>
        <w:t xml:space="preserve">2017;356:i6583.</w:t>
      </w:r>
      <w:r>
        <w:t xml:space="preserve"> </w:t>
      </w:r>
      <w:r>
        <w:t xml:space="preserve">Individual participant data meta-analysis; the protective association was strongest in those who were most deficient at baseline.</w:t>
      </w:r>
      <w:r>
        <w:t xml:space="preserve"> </w:t>
      </w:r>
      <w:r>
        <w:t xml:space="preserve">doi.org/10.1136/bmj.i6583</w:t>
      </w:r>
    </w:p>
    <w:bookmarkEnd w:id="30"/>
    <w:bookmarkStart w:id="31" w:name="X6639ff1446fd0fd1cfc7ae0ecd863ac07a6cc3e"/>
    <w:p>
      <w:pPr>
        <w:pStyle w:val="Heading3"/>
      </w:pPr>
      <w:r>
        <w:t xml:space="preserve">Individual response to Vitamin D, why measurement matters</w:t>
      </w:r>
    </w:p>
    <w:p>
      <w:pPr>
        <w:pStyle w:val="FirstParagraph"/>
      </w:pPr>
      <w:r>
        <w:rPr>
          <w:b/>
          <w:bCs/>
        </w:rPr>
        <w:t xml:space="preserve">Carlberg C.</w:t>
      </w:r>
      <w:r>
        <w:t xml:space="preserve"> </w:t>
      </w:r>
      <w:r>
        <w:t xml:space="preserve">Intervention Approaches in Studying the Response to Vitamin D3 Supplementation.</w:t>
      </w:r>
      <w:r>
        <w:t xml:space="preserve"> </w:t>
      </w:r>
      <w:r>
        <w:rPr>
          <w:i/>
          <w:iCs/>
        </w:rPr>
        <w:t xml:space="preserve">Nutrients.</w:t>
      </w:r>
      <w:r>
        <w:t xml:space="preserve"> </w:t>
      </w:r>
      <w:r>
        <w:t xml:space="preserve">2023;15(15):3382.</w:t>
      </w:r>
      <w:r>
        <w:t xml:space="preserve"> </w:t>
      </w:r>
      <w:r>
        <w:t xml:space="preserve">Documents that a meaningful share of individuals are low responders to Vitamin D supplementation, which supports measured, individualized approaches over a fixed capsule dose.</w:t>
      </w:r>
      <w:r>
        <w:t xml:space="preserve"> </w:t>
      </w:r>
      <w:r>
        <w:t xml:space="preserve">doi.org/10.3390/nu15153382</w:t>
      </w:r>
    </w:p>
    <w:bookmarkEnd w:id="31"/>
    <w:bookmarkStart w:id="32" w:name="X58f7081a40c861c40af1768385caa7aba467868"/>
    <w:p>
      <w:pPr>
        <w:pStyle w:val="Heading3"/>
      </w:pPr>
      <w:r>
        <w:t xml:space="preserve">Vitamin D and cancer, epidemiology and randomized trials</w:t>
      </w:r>
    </w:p>
    <w:p>
      <w:pPr>
        <w:pStyle w:val="FirstParagraph"/>
      </w:pPr>
      <w:r>
        <w:rPr>
          <w:b/>
          <w:bCs/>
        </w:rPr>
        <w:t xml:space="preserve">Keum N, et al.</w:t>
      </w:r>
      <w:r>
        <w:t xml:space="preserve"> </w:t>
      </w:r>
      <w:r>
        <w:t xml:space="preserve">Vitamin D supplementation and total cancer incidence and mortality: a meta-analysis of randomized controlled trials.</w:t>
      </w:r>
      <w:r>
        <w:t xml:space="preserve"> </w:t>
      </w:r>
      <w:r>
        <w:rPr>
          <w:i/>
          <w:iCs/>
        </w:rPr>
        <w:t xml:space="preserve">Annals of Oncology.</w:t>
      </w:r>
      <w:r>
        <w:t xml:space="preserve"> </w:t>
      </w:r>
      <w:r>
        <w:t xml:space="preserve">2019;30(5):733 to 743.</w:t>
      </w:r>
      <w:r>
        <w:t xml:space="preserve"> </w:t>
      </w:r>
      <w:r>
        <w:t xml:space="preserve">Meta-analysis of randomized trials suggesting a reduction in total cancer mortality, though not in incidence.</w:t>
      </w:r>
      <w:r>
        <w:t xml:space="preserve"> </w:t>
      </w:r>
      <w:r>
        <w:t xml:space="preserve">doi.org/10.1093/annonc/mdz059</w:t>
      </w:r>
    </w:p>
    <w:bookmarkEnd w:id="32"/>
    <w:bookmarkStart w:id="33" w:name="prevalence"/>
    <w:p>
      <w:pPr>
        <w:pStyle w:val="Heading3"/>
      </w:pPr>
      <w:r>
        <w:t xml:space="preserve">Prevalence</w:t>
      </w:r>
    </w:p>
    <w:p>
      <w:pPr>
        <w:pStyle w:val="FirstParagraph"/>
      </w:pPr>
      <w:r>
        <w:rPr>
          <w:b/>
          <w:bCs/>
        </w:rPr>
        <w:t xml:space="preserve">Cui A, et al.</w:t>
      </w:r>
      <w:r>
        <w:t xml:space="preserve"> </w:t>
      </w:r>
      <w:r>
        <w:t xml:space="preserve">Global and regional prevalence of vitamin D deficiency in population-based studies from 2000 to 2022.</w:t>
      </w:r>
      <w:r>
        <w:t xml:space="preserve"> </w:t>
      </w:r>
      <w:r>
        <w:rPr>
          <w:i/>
          <w:iCs/>
        </w:rPr>
        <w:t xml:space="preserve">Frontiers in Nutrition.</w:t>
      </w:r>
      <w:r>
        <w:t xml:space="preserve"> </w:t>
      </w:r>
      <w:r>
        <w:t xml:space="preserve">2023.</w:t>
      </w:r>
      <w:r>
        <w:t xml:space="preserve"> </w:t>
      </w:r>
      <w:r>
        <w:t xml:space="preserve">Pooled analysis of 308 population-based studies across 81 countries and 7.9 million participants aged 1 and over; 76.6 percent had serum 25(OH)D below 30 ng/mL.</w:t>
      </w:r>
      <w:r>
        <w:t xml:space="preserve"> </w:t>
      </w:r>
      <w:r>
        <w:t xml:space="preserve">PMC10064807</w:t>
      </w:r>
    </w:p>
    <w:p>
      <w:r>
        <w:pict>
          <v:rect style="width:0;height:1.5pt" o:hralign="center" o:hrstd="t" o:hr="t"/>
        </w:pict>
      </w:r>
    </w:p>
    <w:p>
      <w:pPr>
        <w:pStyle w:val="FirstParagraph"/>
      </w:pPr>
      <w:r>
        <w:rPr>
          <w:b/>
          <w:bCs/>
        </w:rPr>
        <w:t xml:space="preserve">Scott Hansbury</w:t>
      </w:r>
      <w:r>
        <w:t xml:space="preserve">, CEO and Co-Founder | enyrgy.com</w:t>
      </w:r>
    </w:p>
    <w:p>
      <w:pPr>
        <w:pStyle w:val="BodyText"/>
      </w:pPr>
      <w:r>
        <w:rPr>
          <w:i/>
          <w:iCs/>
        </w:rPr>
        <w:t xml:space="preserve">CONFIDENTIAL, prepared for the Center for New Medicine</w:t>
      </w:r>
    </w:p>
    <w:bookmarkEnd w:id="33"/>
    <w:bookmarkEnd w:id="34"/>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Facility Overview </w:t>
    </w:r>
    <w:proofErr w:type="gramStart"/>
    <w:r>
      <w:rPr>
        <w:rFonts w:ascii="Montserrat" w:eastAsia="Montserrat" w:hAnsi="Montserrat" w:cs="Montserrat"/>
        <w:b/>
        <w:bCs/>
        <w:color w:val="E64C38"/>
        <w:sz w:val="18"/>
        <w:szCs w:val="18"/>
      </w:rPr>
      <w:t xml:space="preserve">v2.1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2026-08-27T21:31:00Z</dcterms:created>
  <dcterms:modified xsi:type="dcterms:W3CDTF">2026-08-27T21:31:00Z</dcterms:modified>
</cp:coreProperties>
</file>

<file path=docProps/custom.xml><?xml version="1.0" encoding="utf-8"?>
<Properties xmlns="http://schemas.openxmlformats.org/officeDocument/2006/custom-properties" xmlns:vt="http://schemas.openxmlformats.org/officeDocument/2006/docPropsVTypes"/>
</file>