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3.9.3</w:t>
      </w:r>
    </w:p>
    <w:p>
      <w:pPr>
        <w:pStyle w:val="BodyText"/>
      </w:pPr>
      <w:r>
        <w:rPr>
          <w:b/>
          <w:bCs/>
        </w:rPr>
        <w:t xml:space="preserve">Consumer Unit $2,995 · Commercial Unit $8,950 · 600+ Customers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July 28, 2026 · Version 3.9.5</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 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 starvation multiplies cost (dying runs re-wake and replay a growing thread) and is the trigger for confabulation. Open platform bug: a run that dies on a credit/budget error must go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(it was auto-flipping to</w:t>
      </w:r>
      <w:r>
        <w:t xml:space="preserve"> </w:t>
      </w:r>
      <w:r>
        <w:rPr>
          <w:rStyle w:val="VerbatimChar"/>
        </w:rPr>
        <w:t xml:space="preserve">done</w:t>
      </w:r>
      <w:r>
        <w:t xml:space="preserve"> </w:t>
      </w:r>
      <w:r>
        <w:t xml:space="preserve">with no work, masking the item).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13" w:name="X903a202284d525ce488a2bb7897e84a177c088d"/>
    <w:p>
      <w:pPr>
        <w:pStyle w:val="Heading1"/>
      </w:pPr>
      <w:r>
        <w:t xml:space="preserve">SECTION 1: ENYRGY COMPANY CONTEXT &amp; UPDATED FACTS</w:t>
      </w:r>
    </w:p>
    <w:bookmarkStart w:id="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9"/>
    <w:bookmarkStart w:id="10" w:name="updated-company-metrics"/>
    <w:p>
      <w:pPr>
        <w:pStyle w:val="Heading2"/>
      </w:pPr>
      <w:r>
        <w:t xml:space="preserve">Updated Company Metrics</w:t>
      </w:r>
    </w:p>
    <w:tbl>
      <w:tblPr>
        <w:tblStyle w:val="Table"/>
        <w:tblW w:type="pct" w:w="4929"/>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Customers</w:t>
            </w:r>
          </w:p>
        </w:tc>
        <w:tc>
          <w:tcPr/>
          <w:p>
            <w:pPr>
              <w:pStyle w:val="Compact"/>
              <w:jc w:val="left"/>
            </w:pPr>
            <w:r>
              <w:t xml:space="preserve">600+</w:t>
            </w:r>
          </w:p>
        </w:tc>
        <w:tc>
          <w:tcPr/>
          <w:p>
            <w:pPr>
              <w:pStyle w:val="Compact"/>
              <w:jc w:val="left"/>
            </w:pPr>
            <w:r>
              <w:t xml:space="preserve">Organic growth, zero paid advertising to date</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0"/>
    <w:bookmarkStart w:id="1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1"/>
    <w:bookmarkStart w:id="12" w:name="revenue-streams-pricing"/>
    <w:p>
      <w:pPr>
        <w:pStyle w:val="Heading2"/>
      </w:pPr>
      <w:r>
        <w:t xml:space="preserve">Revenue Streams &amp; Pricing</w:t>
      </w:r>
    </w:p>
    <w:tbl>
      <w:tblPr>
        <w:tblStyle w:val="Table"/>
        <w:tblW w:type="pct" w:w="4914"/>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12"/>
    <w:bookmarkEnd w:id="13"/>
    <w:bookmarkStart w:id="19" w:name="X8b291bc1562de733447dfbc535b382740163587"/>
    <w:p>
      <w:pPr>
        <w:pStyle w:val="Heading1"/>
      </w:pPr>
      <w:r>
        <w:t xml:space="preserve">SECTION 2: AUTOMATION ARCHITECTURE: PAPERCLIP AGENT SYSTEM + HUMAN IN THE LOOP (HITL)</w:t>
      </w:r>
    </w:p>
    <w:bookmarkStart w:id="1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14"/>
    <w:bookmarkStart w:id="1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15"/>
    <w:bookmarkStart w:id="1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16"/>
    <w:bookmarkStart w:id="1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17"/>
    <w:bookmarkStart w:id="1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18"/>
    <w:bookmarkEnd w:id="19"/>
    <w:bookmarkStart w:id="2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0" w:name="c-suite-layer-3-agents"/>
    <w:p>
      <w:pPr>
        <w:pStyle w:val="Heading2"/>
      </w:pPr>
      <w:r>
        <w:t xml:space="preserve">C-Suite Layer (3 Agents)</w:t>
      </w:r>
    </w:p>
    <w:tbl>
      <w:tblPr>
        <w:tblStyle w:val="Table"/>
        <w:tblW w:type="pct" w:w="4921"/>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0"/>
    <w:bookmarkStart w:id="21" w:name="coo-division-7-agents"/>
    <w:p>
      <w:pPr>
        <w:pStyle w:val="Heading2"/>
      </w:pPr>
      <w:r>
        <w:t xml:space="preserve">COO Division (7 Agents)</w:t>
      </w:r>
    </w:p>
    <w:tbl>
      <w:tblPr>
        <w:tblStyle w:val="Table"/>
        <w:tblW w:type="pct" w:w="4908"/>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1"/>
    <w:bookmarkStart w:id="22" w:name="cro-division-6-agents"/>
    <w:p>
      <w:pPr>
        <w:pStyle w:val="Heading2"/>
      </w:pPr>
      <w:r>
        <w:t xml:space="preserve">CRO Division (6 Agents)</w:t>
      </w:r>
    </w:p>
    <w:tbl>
      <w:tblPr>
        <w:tblStyle w:val="Table"/>
        <w:tblW w:type="pct" w:w="4906"/>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22"/>
    <w:bookmarkStart w:id="23" w:name="agent-to-workflow-mapping"/>
    <w:p>
      <w:pPr>
        <w:pStyle w:val="Heading2"/>
      </w:pPr>
      <w:r>
        <w:t xml:space="preserve">Agent-to-Workflow Mapping</w:t>
      </w:r>
    </w:p>
    <w:tbl>
      <w:tblPr>
        <w:tblStyle w:val="Table"/>
        <w:tblW w:type="pct" w:w="4890"/>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23"/>
    <w:bookmarkStart w:id="2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24"/>
    <w:bookmarkStart w:id="2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25"/>
    <w:bookmarkStart w:id="2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26"/>
    <w:bookmarkEnd w:id="27"/>
    <w:bookmarkStart w:id="2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28"/>
    <w:bookmarkStart w:id="31" w:name="section-5-ghl-account-structure"/>
    <w:p>
      <w:pPr>
        <w:pStyle w:val="Heading1"/>
      </w:pPr>
      <w:r>
        <w:t xml:space="preserve">SECTION 5: GHL ACCOUNT STRUCTURE</w:t>
      </w:r>
    </w:p>
    <w:bookmarkStart w:id="29" w:name="key-urls"/>
    <w:p>
      <w:pPr>
        <w:pStyle w:val="Heading2"/>
      </w:pPr>
      <w:r>
        <w:t xml:space="preserve">Key URLs</w:t>
      </w:r>
    </w:p>
    <w:tbl>
      <w:tblPr>
        <w:tblStyle w:val="Table"/>
        <w:tblW w:type="pct" w:w="4899"/>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29"/>
    <w:bookmarkStart w:id="30" w:name="phone-system"/>
    <w:p>
      <w:pPr>
        <w:pStyle w:val="Heading2"/>
      </w:pPr>
      <w:r>
        <w:t xml:space="preserve">Phone System</w:t>
      </w:r>
    </w:p>
    <w:p>
      <w:pPr>
        <w:numPr>
          <w:ilvl w:val="0"/>
          <w:numId w:val="1004"/>
        </w:numPr>
      </w:pPr>
      <w:r>
        <w:t xml:space="preserve">Number: +1 888-316-1695 (Toll-Free)</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0"/>
    <w:bookmarkEnd w:id="31"/>
    <w:bookmarkStart w:id="32" w:name="section-6-calendar-reference"/>
    <w:p>
      <w:pPr>
        <w:pStyle w:val="Heading1"/>
      </w:pPr>
      <w:r>
        <w:t xml:space="preserve">SECTION 6: CALENDAR REFERENCE</w:t>
      </w:r>
    </w:p>
    <w:tbl>
      <w:tblPr>
        <w:tblStyle w:val="Table"/>
        <w:tblW w:type="pct" w:w="4888"/>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32"/>
    <w:bookmarkStart w:id="34" w:name="section-7-team-reference"/>
    <w:p>
      <w:pPr>
        <w:pStyle w:val="Heading1"/>
      </w:pPr>
      <w:r>
        <w:t xml:space="preserve">SECTION 7: TEAM REFERENCE</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33" w:name="funnel-ownership"/>
    <w:p>
      <w:pPr>
        <w:pStyle w:val="Heading2"/>
      </w:pPr>
      <w:r>
        <w:t xml:space="preserve">Funnel Ownership</w:t>
      </w:r>
    </w:p>
    <w:tbl>
      <w:tblPr>
        <w:tblStyle w:val="Table"/>
        <w:tblW w:type="pct" w:w="4878"/>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33"/>
    <w:bookmarkEnd w:id="34"/>
    <w:bookmarkStart w:id="42" w:name="section-8-ghl-contact-fields"/>
    <w:p>
      <w:pPr>
        <w:pStyle w:val="Heading1"/>
      </w:pPr>
      <w:r>
        <w:t xml:space="preserve">SECTION 8: GHL CONTACT FIELDS</w:t>
      </w:r>
    </w:p>
    <w:bookmarkStart w:id="35" w:name="folder-structure"/>
    <w:p>
      <w:pPr>
        <w:pStyle w:val="Heading2"/>
      </w:pPr>
      <w:r>
        <w:t xml:space="preserve">Folder Structure</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35"/>
    <w:bookmarkStart w:id="3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36"/>
    <w:bookmarkStart w:id="3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37"/>
    <w:bookmarkStart w:id="3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38"/>
    <w:bookmarkStart w:id="3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39"/>
    <w:bookmarkStart w:id="4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0"/>
    <w:bookmarkStart w:id="4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1"/>
    <w:bookmarkEnd w:id="42"/>
    <w:bookmarkStart w:id="4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p>
    <w:bookmarkEnd w:id="43"/>
    <w:bookmarkStart w:id="44" w:name="section-10-pipelines"/>
    <w:p>
      <w:pPr>
        <w:pStyle w:val="Heading1"/>
      </w:pPr>
      <w:r>
        <w:t xml:space="preserve">SECTION 10: PIPELINES</w:t>
      </w:r>
    </w:p>
    <w:tbl>
      <w:tblPr>
        <w:tblStyle w:val="Table"/>
        <w:tblW w:type="pct" w:w="4957"/>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 N</w:t>
            </w:r>
          </w:p>
        </w:tc>
        <w:tc>
          <w:tcPr/>
          <w:p>
            <w:pPr>
              <w:pStyle w:val="Compact"/>
              <w:jc w:val="left"/>
            </w:pPr>
            <w:r>
              <w:t xml:space="preserve">ew Lead -&gt; Website Visit -&gt; Drip Active -&gt; Discovery Call -&gt; Demo Education -&gt; Order Financing -&gt; Ordered -&gt; Unit Shipped -&gt; User Activated -&gt; Active Customer</w:t>
            </w:r>
          </w:p>
        </w:tc>
      </w:tr>
      <w:tr>
        <w:tc>
          <w:tcPr/>
          <w:p>
            <w:pPr>
              <w:pStyle w:val="Compact"/>
              <w:jc w:val="left"/>
            </w:pPr>
            <w:r>
              <w:t xml:space="preserve">2 Commercial ($8,950/unit) P</w:t>
            </w:r>
          </w:p>
        </w:tc>
        <w:tc>
          <w:tcPr/>
          <w:p>
            <w:pPr>
              <w:pStyle w:val="Compact"/>
              <w:jc w:val="left"/>
            </w:pPr>
            <w:r>
              <w:t xml:space="preserve">rospect -&gt; Drip Active -&gt; Discovery -&gt; Demo -&gt; Proposal -&gt; Negotiation -&gt; Contract Signed -&gt; Unit Shipped -&gt; User Activated -&gt; Installation -&gt; Training Scheduled -&gt; Training Complete -&gt; Active Customer</w:t>
            </w:r>
          </w:p>
        </w:tc>
      </w:tr>
      <w:tr>
        <w:tc>
          <w:tcPr/>
          <w:p>
            <w:pPr>
              <w:pStyle w:val="Compact"/>
              <w:jc w:val="left"/>
            </w:pPr>
            <w:r>
              <w:t xml:space="preserve">3 Investor ($3.5M Raise) I</w:t>
            </w:r>
          </w:p>
        </w:tc>
        <w:tc>
          <w:tcPr/>
          <w:p>
            <w:pPr>
              <w:pStyle w:val="Compact"/>
              <w:jc w:val="left"/>
            </w:pPr>
            <w:r>
              <w:t xml:space="preserve">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bookmarkEnd w:id="44"/>
    <w:bookmarkStart w:id="50" w:name="section-11-drip-campaigns"/>
    <w:p>
      <w:pPr>
        <w:pStyle w:val="Heading1"/>
      </w:pPr>
      <w:r>
        <w:t xml:space="preserve">SECTION 11: DRIP CAMPAIGNS</w:t>
      </w:r>
    </w:p>
    <w:bookmarkStart w:id="45" w:name="campaign-overview"/>
    <w:p>
      <w:pPr>
        <w:pStyle w:val="Heading2"/>
      </w:pPr>
      <w:r>
        <w:t xml:space="preserve">Campaign Overview</w:t>
      </w:r>
    </w:p>
    <w:tbl>
      <w:tblPr>
        <w:tblStyle w:val="Table"/>
        <w:tblW w:type="pct" w:w="4908"/>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8</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45"/>
    <w:bookmarkStart w:id="46" w:name="bypass-logic"/>
    <w:p>
      <w:pPr>
        <w:pStyle w:val="Heading2"/>
      </w:pPr>
      <w:r>
        <w:t xml:space="preserve">Bypass Logic</w:t>
      </w:r>
    </w:p>
    <w:p>
      <w:pPr>
        <w:numPr>
          <w:ilvl w:val="0"/>
          <w:numId w:val="1006"/>
        </w:numPr>
      </w:pPr>
      <w:r>
        <w:t xml:space="preserve">Apply drip_bypass + investor_warm to skip cold drip and enroll in the warm sequence.</w:t>
      </w:r>
    </w:p>
    <w:p>
      <w:pPr>
        <w:numPr>
          <w:ilvl w:val="0"/>
          <w:numId w:val="1006"/>
        </w:numPr>
      </w:pPr>
      <w:r>
        <w:t xml:space="preserve">Apply drip_bypass alone to skip all drip enrollment for manually managed contacts.</w:t>
      </w:r>
    </w:p>
    <w:p>
      <w:pPr>
        <w:numPr>
          <w:ilvl w:val="0"/>
          <w:numId w:val="1006"/>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46"/>
    <w:bookmarkStart w:id="4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47"/>
    <w:bookmarkStart w:id="48" w:name="consumer-drip-12-touch-sequence"/>
    <w:p>
      <w:pPr>
        <w:pStyle w:val="Heading2"/>
      </w:pPr>
      <w:r>
        <w:t xml:space="preserve">Consumer Drip, 12 Touch Sequence</w:t>
      </w:r>
    </w:p>
    <w:tbl>
      <w:tblPr>
        <w:tblStyle w:val="Table"/>
        <w:tblW w:type="pct" w:w="4922"/>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48"/>
    <w:bookmarkStart w:id="49" w:name="investor-drip-8-touch-sequence"/>
    <w:p>
      <w:pPr>
        <w:pStyle w:val="Heading2"/>
      </w:pPr>
      <w:r>
        <w:t xml:space="preserve">Investor Drip, 8 Touch Sequence</w:t>
      </w:r>
    </w:p>
    <w:tbl>
      <w:tblPr>
        <w:tblStyle w:val="Table"/>
        <w:tblW w:type="pct" w:w="4908"/>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49"/>
    <w:bookmarkEnd w:id="50"/>
    <w:bookmarkStart w:id="56" w:name="section-12-core-workflows"/>
    <w:p>
      <w:pPr>
        <w:pStyle w:val="Heading1"/>
      </w:pPr>
      <w:r>
        <w:t xml:space="preserve">SECTION 12: CORE WORKFLOWS</w:t>
      </w:r>
    </w:p>
    <w:bookmarkStart w:id="51" w:name="wf-01-through-wf-10"/>
    <w:p>
      <w:pPr>
        <w:pStyle w:val="Heading2"/>
      </w:pPr>
      <w:r>
        <w:t xml:space="preserve">WF-01 through WF-10</w:t>
      </w:r>
    </w:p>
    <w:tbl>
      <w:tblPr>
        <w:tblStyle w:val="Table"/>
        <w:tblW w:type="pct" w:w="4939"/>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1"/>
    <w:bookmarkStart w:id="52" w:name="X5bc6bf71dba644c700ee4f719d5b4f05d19bbd5"/>
    <w:p>
      <w:pPr>
        <w:pStyle w:val="Heading2"/>
      </w:pPr>
      <w:r>
        <w:t xml:space="preserve">WF-11 through WF-20 (Consumer Funnel, all four magnets live)</w:t>
      </w:r>
    </w:p>
    <w:tbl>
      <w:tblPr>
        <w:tblStyle w:val="Table"/>
        <w:tblW w:type="pct" w:w="4937"/>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52"/>
    <w:bookmarkStart w:id="53" w:name="X8b635a9b8e26577bc07542dc589df6fb2ab55bd"/>
    <w:p>
      <w:pPr>
        <w:pStyle w:val="Heading2"/>
      </w:pPr>
      <w:r>
        <w:t xml:space="preserve">WF-21 through WF-26 (added Sessions 9 and 10, all LIVE)</w:t>
      </w:r>
    </w:p>
    <w:tbl>
      <w:tblPr>
        <w:tblStyle w:val="Table"/>
        <w:tblW w:type="pct" w:w="5000"/>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53"/>
    <w:bookmarkStart w:id="54"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7"/>
        </w:numPr>
      </w:pPr>
      <w:r>
        <w:t xml:space="preserve">WF-12 (Tired Test): https://services.leadconnectorhq.com/hooks/GtXjla7Ld1dordsTWrVy/webhook-trigger/6c3a7c6c-f1fa-4c85-a03a-a1c42fdfb13d</w:t>
      </w:r>
    </w:p>
    <w:p>
      <w:pPr>
        <w:numPr>
          <w:ilvl w:val="0"/>
          <w:numId w:val="1007"/>
        </w:numPr>
      </w:pPr>
      <w:r>
        <w:t xml:space="preserve">WF-15 (Synthesis Gap): https://services.leadconnectorhq.com/hooks/GtXjla7Ld1dordsTWrVy/webhook-trigger/fd32493c-6ec1-4e55-9edb-75399aa53a34</w:t>
      </w:r>
    </w:p>
    <w:p>
      <w:pPr>
        <w:numPr>
          <w:ilvl w:val="0"/>
          <w:numId w:val="1007"/>
        </w:numPr>
      </w:pPr>
      <w:r>
        <w:t xml:space="preserve">WF-18 (Recovery): https://services.leadconnectorhq.com/hooks/GtXjla7Ld1dordsTWrVy/webhook-trigger/3ae538d7-81a9-42a7-9e18-5e7c8b19b84a</w:t>
      </w:r>
    </w:p>
    <w:p>
      <w:pPr>
        <w:numPr>
          <w:ilvl w:val="0"/>
          <w:numId w:val="1007"/>
        </w:numPr>
      </w:pPr>
      <w:r>
        <w:t xml:space="preserve">WF-19 (Winter Protocol): https://services.leadconnectorhq.com/hooks/GtXjla7Ld1dordsTWrVy/webhook-trigger/ad11ef02-14c8-4dbc-b1dd-bb5c9f3203bd</w:t>
      </w:r>
    </w:p>
    <w:p>
      <w:pPr>
        <w:numPr>
          <w:ilvl w:val="0"/>
          <w:numId w:val="1007"/>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54"/>
    <w:bookmarkStart w:id="55" w:name="lead-scoring-model"/>
    <w:p>
      <w:pPr>
        <w:pStyle w:val="Heading2"/>
      </w:pPr>
      <w:r>
        <w:t xml:space="preserve">Lead Scoring Model</w:t>
      </w:r>
    </w:p>
    <w:p>
      <w:pPr>
        <w:pStyle w:val="FirstParagraph"/>
      </w:pPr>
      <w:r>
        <w:t xml:space="preserve">Email Opened +6 · Appointment Confirmed +21 · Contact Reply +11 · Appointment Booked +21.</w:t>
      </w:r>
    </w:p>
    <w:bookmarkEnd w:id="55"/>
    <w:bookmarkEnd w:id="56"/>
    <w:bookmarkStart w:id="57"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57"/>
    <w:bookmarkStart w:id="63" w:name="section-14-content-rules-updated-in-v3.7"/>
    <w:p>
      <w:pPr>
        <w:pStyle w:val="Heading1"/>
      </w:pPr>
      <w:r>
        <w:t xml:space="preserve">SECTION 14: CONTENT RULES (UPDATED in v3.7)</w:t>
      </w:r>
    </w:p>
    <w:bookmarkStart w:id="58"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08"/>
        </w:numPr>
      </w:pPr>
      <w:r>
        <w:rPr>
          <w:b/>
          <w:bCs/>
        </w:rPr>
        <w:t xml:space="preserve">StorySelling OS</w:t>
      </w:r>
      <w:r>
        <w:t xml:space="preserve"> </w:t>
      </w:r>
      <w:r>
        <w:t xml:space="preserve">-&gt; NARRATIVE/story content ONLY (origin stories, testimonials, social content pulling traffic to guides).</w:t>
      </w:r>
    </w:p>
    <w:p>
      <w:pPr>
        <w:numPr>
          <w:ilvl w:val="0"/>
          <w:numId w:val="1008"/>
        </w:numPr>
      </w:pPr>
      <w:r>
        <w:rPr>
          <w:b/>
          <w:bCs/>
        </w:rPr>
        <w:t xml:space="preserve">eugene-skill / cub / copy-chief / humanize-pro</w:t>
      </w:r>
      <w:r>
        <w:t xml:space="preserve"> </w:t>
      </w:r>
      <w:r>
        <w:t xml:space="preserve">-&gt; conversion and research copy (landing pages, guides, conversion emails).</w:t>
      </w:r>
    </w:p>
    <w:p>
      <w:pPr>
        <w:numPr>
          <w:ilvl w:val="0"/>
          <w:numId w:val="1008"/>
        </w:numPr>
      </w:pPr>
      <w:r>
        <w:rPr>
          <w:b/>
          <w:bCs/>
        </w:rPr>
        <w:t xml:space="preserve">presell-sandwich</w:t>
      </w:r>
      <w:r>
        <w:t xml:space="preserve"> </w:t>
      </w:r>
      <w:r>
        <w:t xml:space="preserve">-&gt; Problem-Aware buyer copy.</w:t>
      </w:r>
    </w:p>
    <w:p>
      <w:pPr>
        <w:numPr>
          <w:ilvl w:val="0"/>
          <w:numId w:val="1008"/>
        </w:numPr>
      </w:pPr>
      <w:r>
        <w:rPr>
          <w:b/>
          <w:bCs/>
        </w:rPr>
        <w:t xml:space="preserve">offer-brief / offer-gravity</w:t>
      </w:r>
      <w:r>
        <w:t xml:space="preserve"> </w:t>
      </w:r>
      <w:r>
        <w:t xml:space="preserve">-&gt; offer framing.</w:t>
      </w:r>
    </w:p>
    <w:p>
      <w:pPr>
        <w:numPr>
          <w:ilvl w:val="0"/>
          <w:numId w:val="1008"/>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58"/>
    <w:bookmarkStart w:id="59" w:name="writing-rules"/>
    <w:p>
      <w:pPr>
        <w:pStyle w:val="Heading2"/>
      </w:pPr>
      <w:r>
        <w:t xml:space="preserve">Writing Rules</w:t>
      </w:r>
    </w:p>
    <w:p>
      <w:pPr>
        <w:numPr>
          <w:ilvl w:val="0"/>
          <w:numId w:val="1009"/>
        </w:numPr>
      </w:pPr>
      <w:r>
        <w:t xml:space="preserve">No m-dashes ever; use commas, periods, or rewrite.</w:t>
      </w:r>
    </w:p>
    <w:p>
      <w:pPr>
        <w:numPr>
          <w:ilvl w:val="0"/>
          <w:numId w:val="1009"/>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09"/>
        </w:numPr>
      </w:pPr>
      <w:r>
        <w:t xml:space="preserve">Treatments completed: 25,000+. Customers: 600+. Red light co-use: 90%.</w:t>
      </w:r>
    </w:p>
    <w:p>
      <w:pPr>
        <w:numPr>
          <w:ilvl w:val="0"/>
          <w:numId w:val="1009"/>
        </w:numPr>
      </w:pPr>
      <w:r>
        <w:t xml:space="preserve">Manufacturing / Facility: 5115 N 27th Ave, Bld 66, Phoenix, AZ 85017, Made in USA (relocated from Scottsdale; all labels, listings, and materials should reflect the new address).</w:t>
      </w:r>
    </w:p>
    <w:p>
      <w:pPr>
        <w:numPr>
          <w:ilvl w:val="0"/>
          <w:numId w:val="1009"/>
        </w:numPr>
      </w:pPr>
      <w:r>
        <w:t xml:space="preserve">Referral: $150 off referee, $100 credit referrer.</w:t>
      </w:r>
    </w:p>
    <w:p>
      <w:pPr>
        <w:numPr>
          <w:ilvl w:val="0"/>
          <w:numId w:val="1009"/>
        </w:numPr>
      </w:pPr>
      <w:r>
        <w:t xml:space="preserve">Per-session cost: $2.30 (1,300 sessions over 5 years).</w:t>
      </w:r>
    </w:p>
    <w:p>
      <w:pPr>
        <w:numPr>
          <w:ilvl w:val="0"/>
          <w:numId w:val="1009"/>
        </w:numPr>
      </w:pPr>
      <w:r>
        <w:t xml:space="preserve">Order URL: https://shop.enyrgy.com/products/uvb-light-therapy · Device Registration: https://api.enyrgy.com/</w:t>
      </w:r>
    </w:p>
    <w:bookmarkEnd w:id="59"/>
    <w:bookmarkStart w:id="60" w:name="brand-standards-new-in-v3.7-locked"/>
    <w:p>
      <w:pPr>
        <w:pStyle w:val="Heading2"/>
      </w:pPr>
      <w:r>
        <w:t xml:space="preserve">Brand Standards (NEW in v3.7, locked)</w:t>
      </w:r>
    </w:p>
    <w:p>
      <w:pPr>
        <w:numPr>
          <w:ilvl w:val="0"/>
          <w:numId w:val="1010"/>
        </w:numPr>
      </w:pPr>
      <w:r>
        <w:t xml:space="preserve">Accent: Sunrise Orange #E64C38 only (NO violet/purple/amber).</w:t>
      </w:r>
    </w:p>
    <w:p>
      <w:pPr>
        <w:numPr>
          <w:ilvl w:val="0"/>
          <w:numId w:val="1010"/>
        </w:numPr>
      </w:pPr>
      <w:r>
        <w:t xml:space="preserve">Typography: Montserrat, all weights (Bely Bold Italic unavailable -&gt; all-Montserrat).</w:t>
      </w:r>
    </w:p>
    <w:p>
      <w:pPr>
        <w:numPr>
          <w:ilvl w:val="0"/>
          <w:numId w:val="1010"/>
        </w:numPr>
      </w:pPr>
      <w:r>
        <w:t xml:space="preserve">Text: Deep Charcoal #1A1A1A. Panels: Warm Off-White #F7F4EE, Calm Beige #ECE4CF. Line #E2DBC9. Muted #6B6B66.</w:t>
      </w:r>
    </w:p>
    <w:p>
      <w:pPr>
        <w:numPr>
          <w:ilvl w:val="0"/>
          <w:numId w:val="1010"/>
        </w:numPr>
      </w:pPr>
      <w:r>
        <w:t xml:space="preserve">Approved terms: BioCalibrated Sunshine™ (personalized-dosing/skin-type angle), Triple-Pathway Advantage™.</w:t>
      </w:r>
    </w:p>
    <w:bookmarkEnd w:id="60"/>
    <w:bookmarkStart w:id="61"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1"/>
    <w:bookmarkStart w:id="62"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62"/>
    <w:bookmarkEnd w:id="63"/>
    <w:bookmarkStart w:id="64" w:name="section-15-approved-talking-points"/>
    <w:p>
      <w:pPr>
        <w:pStyle w:val="Heading1"/>
      </w:pPr>
      <w:r>
        <w:t xml:space="preserve">SECTION 15: APPROVED TALKING POINTS</w:t>
      </w:r>
    </w:p>
    <w:p>
      <w:pPr>
        <w:numPr>
          <w:ilvl w:val="0"/>
          <w:numId w:val="1011"/>
        </w:numPr>
      </w:pPr>
      <w:r>
        <w:t xml:space="preserve">Every human body was meant to thrive on sunlight. We just made it safe, personalized and controllable.</w:t>
      </w:r>
    </w:p>
    <w:p>
      <w:pPr>
        <w:numPr>
          <w:ilvl w:val="0"/>
          <w:numId w:val="1011"/>
        </w:numPr>
      </w:pPr>
      <w:r>
        <w:t xml:space="preserve">Restore your body’s natural response to sunlight.</w:t>
      </w:r>
    </w:p>
    <w:p>
      <w:pPr>
        <w:numPr>
          <w:ilvl w:val="0"/>
          <w:numId w:val="1011"/>
        </w:numPr>
      </w:pPr>
      <w:r>
        <w:t xml:space="preserve">Activate three biological pathways in 2-4 minutes.</w:t>
      </w:r>
    </w:p>
    <w:p>
      <w:pPr>
        <w:numPr>
          <w:ilvl w:val="0"/>
          <w:numId w:val="1011"/>
        </w:numPr>
      </w:pPr>
      <w:r>
        <w:t xml:space="preserve">25,000+ sessions with zero adverse events.</w:t>
      </w:r>
    </w:p>
    <w:p>
      <w:pPr>
        <w:numPr>
          <w:ilvl w:val="0"/>
          <w:numId w:val="1011"/>
        </w:numPr>
      </w:pPr>
      <w:r>
        <w:t xml:space="preserve">100% of clinical study participants reached optimal Vitamin D levels.</w:t>
      </w:r>
    </w:p>
    <w:p>
      <w:pPr>
        <w:numPr>
          <w:ilvl w:val="0"/>
          <w:numId w:val="1011"/>
        </w:numPr>
      </w:pPr>
      <w:r>
        <w:t xml:space="preserve">2.4x more efficient than sunlight for Vitamin D synthesis.</w:t>
      </w:r>
    </w:p>
    <w:p>
      <w:pPr>
        <w:numPr>
          <w:ilvl w:val="0"/>
          <w:numId w:val="1011"/>
        </w:numPr>
      </w:pPr>
      <w:r>
        <w:t xml:space="preserve">App-controlled, personalized MED protocol, system shuts off automatically.</w:t>
      </w:r>
    </w:p>
    <w:p>
      <w:pPr>
        <w:numPr>
          <w:ilvl w:val="0"/>
          <w:numId w:val="1011"/>
        </w:numPr>
      </w:pPr>
      <w:r>
        <w:t xml:space="preserve">Less than 1% return rate, 5-10x better than industry average.</w:t>
      </w:r>
    </w:p>
    <w:p>
      <w:pPr>
        <w:numPr>
          <w:ilvl w:val="0"/>
          <w:numId w:val="1011"/>
        </w:numPr>
      </w:pPr>
      <w:r>
        <w:t xml:space="preserve">Manufactured in Phoenix, AZ, Made in USA.</w:t>
      </w:r>
    </w:p>
    <w:p>
      <w:pPr>
        <w:numPr>
          <w:ilvl w:val="0"/>
          <w:numId w:val="1011"/>
        </w:numPr>
      </w:pPr>
      <w:r>
        <w:t xml:space="preserve">600+ customers across 5 countries.</w:t>
      </w:r>
    </w:p>
    <w:p>
      <w:pPr>
        <w:numPr>
          <w:ilvl w:val="0"/>
          <w:numId w:val="1011"/>
        </w:numPr>
      </w:pPr>
      <w:r>
        <w:t xml:space="preserve">Lumanova selected our technology to launch Luma D Light.</w:t>
      </w:r>
    </w:p>
    <w:p>
      <w:pPr>
        <w:numPr>
          <w:ilvl w:val="0"/>
          <w:numId w:val="1011"/>
        </w:numPr>
      </w:pPr>
      <w:r>
        <w:t xml:space="preserve">$2,995 consumer / $8,950 commercial.</w:t>
      </w:r>
    </w:p>
    <w:p>
      <w:pPr>
        <w:numPr>
          <w:ilvl w:val="0"/>
          <w:numId w:val="1011"/>
        </w:numPr>
      </w:pPr>
      <w:r>
        <w:t xml:space="preserve">$2.30 per session at 5 sessions/week over 5 years.</w:t>
      </w:r>
    </w:p>
    <w:p>
      <w:pPr>
        <w:numPr>
          <w:ilvl w:val="0"/>
          <w:numId w:val="1011"/>
        </w:numPr>
      </w:pPr>
      <w:r>
        <w:t xml:space="preserve">90% of our customers also use red light therapy.</w:t>
      </w:r>
    </w:p>
    <w:p>
      <w:pPr>
        <w:numPr>
          <w:ilvl w:val="0"/>
          <w:numId w:val="1011"/>
        </w:numPr>
      </w:pPr>
      <w:r>
        <w:t xml:space="preserve">Sunlight. Evolved.</w:t>
      </w:r>
    </w:p>
    <w:bookmarkEnd w:id="64"/>
    <w:bookmarkStart w:id="67" w:name="section-16-commercial-roi-model"/>
    <w:p>
      <w:pPr>
        <w:pStyle w:val="Heading1"/>
      </w:pPr>
      <w:r>
        <w:t xml:space="preserve">SECTION 16: COMMERCIAL ROI MODEL</w:t>
      </w:r>
    </w:p>
    <w:bookmarkStart w:id="65"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65"/>
    <w:bookmarkStart w:id="66"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66"/>
    <w:bookmarkEnd w:id="67"/>
    <w:bookmarkStart w:id="68"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tbl>
      <w:tblPr>
        <w:tblStyle w:val="Table"/>
        <w:tblW w:type="pct" w:w="4907"/>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68"/>
    <w:bookmarkStart w:id="69" w:name="section-18-key-reference-data"/>
    <w:p>
      <w:pPr>
        <w:pStyle w:val="Heading1"/>
      </w:pPr>
      <w:r>
        <w:t xml:space="preserve">SECTION 18: KEY REFERENCE DATA</w:t>
      </w:r>
    </w:p>
    <w:tbl>
      <w:tblPr>
        <w:tblStyle w:val="Table"/>
        <w:tblW w:type="pct" w:w="4920"/>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End w:id="69"/>
    <w:bookmarkStart w:id="72" w:name="X17ff4415c04741fc8a2aa7a70f1e07a23764a6c"/>
    <w:p>
      <w:pPr>
        <w:pStyle w:val="Heading1"/>
      </w:pPr>
      <w:r>
        <w:t xml:space="preserve">SECTION 19: OEM / WHITE-LABEL PARTNER PROGRAM</w:t>
      </w:r>
    </w:p>
    <w:bookmarkStart w:id="70" w:name="current-partner-lumanova-luma-d-light"/>
    <w:p>
      <w:pPr>
        <w:pStyle w:val="Heading2"/>
      </w:pPr>
      <w:r>
        <w:t xml:space="preserve">Current Partner, Lumanova / Luma D Light</w:t>
      </w:r>
    </w:p>
    <w:tbl>
      <w:tblPr>
        <w:tblStyle w:val="Table"/>
        <w:tblW w:type="pct" w:w="4910"/>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0"/>
    <w:bookmarkStart w:id="71"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1"/>
    <w:bookmarkEnd w:id="72"/>
    <w:bookmarkStart w:id="76"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73"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73"/>
    <w:bookmarkStart w:id="74"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74"/>
    <w:bookmarkStart w:id="75" w:name="X381182024df858e43a1c7682279a9e1b008a029"/>
    <w:p>
      <w:pPr>
        <w:pStyle w:val="Heading2"/>
      </w:pPr>
      <w:r>
        <w:t xml:space="preserve">Commercial, Investor, Partner/Vendor Channels</w:t>
      </w:r>
    </w:p>
    <w:p>
      <w:pPr>
        <w:numPr>
          <w:ilvl w:val="0"/>
          <w:numId w:val="1012"/>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2"/>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2"/>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75"/>
    <w:bookmarkEnd w:id="76"/>
    <w:bookmarkStart w:id="77"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77"/>
    <w:bookmarkStart w:id="82" w:name="section-22-client-type-playbooks"/>
    <w:p>
      <w:pPr>
        <w:pStyle w:val="Heading1"/>
      </w:pPr>
      <w:r>
        <w:t xml:space="preserve">SECTION 22: CLIENT TYPE PLAYBOOKS</w:t>
      </w:r>
    </w:p>
    <w:bookmarkStart w:id="78" w:name="consumer-playbook-discovery-questions"/>
    <w:p>
      <w:pPr>
        <w:pStyle w:val="Heading2"/>
      </w:pPr>
      <w:r>
        <w:t xml:space="preserve">Consumer Playbook, Discovery Questions</w:t>
      </w:r>
    </w:p>
    <w:tbl>
      <w:tblPr>
        <w:tblStyle w:val="Table"/>
        <w:tblW w:type="pct" w:w="4933"/>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78"/>
    <w:bookmarkStart w:id="79" w:name="top-consumer-objections"/>
    <w:p>
      <w:pPr>
        <w:pStyle w:val="Heading2"/>
      </w:pPr>
      <w:r>
        <w:t xml:space="preserve">Top Consumer Objections</w:t>
      </w:r>
    </w:p>
    <w:p>
      <w:pPr>
        <w:numPr>
          <w:ilvl w:val="0"/>
          <w:numId w:val="1013"/>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3"/>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3"/>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3"/>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3"/>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79"/>
    <w:bookmarkStart w:id="80"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4"/>
        </w:numPr>
      </w:pPr>
      <w:r>
        <w:rPr>
          <w:b/>
          <w:bCs/>
        </w:rPr>
        <w:t xml:space="preserve">We already have red light:</w:t>
      </w:r>
      <w:r>
        <w:t xml:space="preserve"> </w:t>
      </w:r>
      <w:r>
        <w:t xml:space="preserve">90% of Enyrgy customers use both, different biological purposes. Upsell, not replacement.</w:t>
      </w:r>
    </w:p>
    <w:p>
      <w:pPr>
        <w:numPr>
          <w:ilvl w:val="0"/>
          <w:numId w:val="1014"/>
        </w:numPr>
      </w:pPr>
      <w:r>
        <w:rPr>
          <w:b/>
          <w:bCs/>
        </w:rPr>
        <w:t xml:space="preserve">Would clients pay?:</w:t>
      </w:r>
      <w:r>
        <w:t xml:space="preserve"> </w:t>
      </w:r>
      <w:r>
        <w:t xml:space="preserve">Vitamin D deficiency affects 77% of indoor adults. Operators charge $40-$75/session.</w:t>
      </w:r>
    </w:p>
    <w:p>
      <w:pPr>
        <w:numPr>
          <w:ilvl w:val="0"/>
          <w:numId w:val="1014"/>
        </w:numPr>
      </w:pPr>
      <w:r>
        <w:rPr>
          <w:b/>
          <w:bCs/>
        </w:rPr>
        <w:t xml:space="preserve">Staff training?:</w:t>
      </w:r>
      <w:r>
        <w:t xml:space="preserve"> </w:t>
      </w:r>
      <w:r>
        <w:t xml:space="preserve">Included; the app calculates each client’s MED and controls the session.</w:t>
      </w:r>
    </w:p>
    <w:bookmarkEnd w:id="80"/>
    <w:bookmarkStart w:id="81" w:name="investor-playbook-pitch-flow"/>
    <w:p>
      <w:pPr>
        <w:pStyle w:val="Heading2"/>
      </w:pPr>
      <w:r>
        <w:t xml:space="preserve">Investor Playbook, Pitch Flow</w:t>
      </w:r>
    </w:p>
    <w:p>
      <w:pPr>
        <w:numPr>
          <w:ilvl w:val="0"/>
          <w:numId w:val="1015"/>
        </w:numPr>
      </w:pPr>
      <w:r>
        <w:t xml:space="preserve">Company &amp; Problem (5 min): 3.8B deficient worldwide, supplements fail 1 in 4, no scalable UVB solution.</w:t>
      </w:r>
    </w:p>
    <w:p>
      <w:pPr>
        <w:numPr>
          <w:ilvl w:val="0"/>
          <w:numId w:val="1015"/>
        </w:numPr>
      </w:pPr>
      <w:r>
        <w:t xml:space="preserve">Solution &amp; Technology (5 min): triple pathway, app-controlled, patented LED card, Made in Phoenix AZ.</w:t>
      </w:r>
    </w:p>
    <w:p>
      <w:pPr>
        <w:numPr>
          <w:ilvl w:val="0"/>
          <w:numId w:val="1015"/>
        </w:numPr>
      </w:pPr>
      <w:r>
        <w:t xml:space="preserve">Traction (5 min): 600+ customers, 25,000+ treatments, &lt;1% return, 5 countries, $14,700+ MRR, zero paid ads.</w:t>
      </w:r>
    </w:p>
    <w:p>
      <w:pPr>
        <w:numPr>
          <w:ilvl w:val="0"/>
          <w:numId w:val="1015"/>
        </w:numPr>
      </w:pPr>
      <w:r>
        <w:t xml:space="preserve">Market &amp; Model (5 min): $2,995/$8,950/OEM, 66-78% margins.</w:t>
      </w:r>
    </w:p>
    <w:p>
      <w:pPr>
        <w:numPr>
          <w:ilvl w:val="0"/>
          <w:numId w:val="1015"/>
        </w:numPr>
      </w:pPr>
      <w:r>
        <w:t xml:space="preserve">The Ask (3 min): $3.5M private credit at 12%/3yr, $50K min, exit $100-150M in 5 years (10-15x).</w:t>
      </w:r>
    </w:p>
    <w:p>
      <w:pPr>
        <w:numPr>
          <w:ilvl w:val="0"/>
          <w:numId w:val="1015"/>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1"/>
    <w:bookmarkEnd w:id="82"/>
    <w:bookmarkStart w:id="83" w:name="section-23-contact"/>
    <w:p>
      <w:pPr>
        <w:pStyle w:val="Heading1"/>
      </w:pPr>
      <w:r>
        <w:t xml:space="preserve">SECTION 23: CONTACT</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83"/>
    <w:bookmarkStart w:id="90" w:name="X2eb0bc4ebcb5446a412218d313bed2b732c6680"/>
    <w:p>
      <w:pPr>
        <w:pStyle w:val="Heading1"/>
      </w:pPr>
      <w:r>
        <w:t xml:space="preserve">SECTION 24: CONSUMER FUNNEL: ICP-DARTBOARD SYSTEM (NEW in v3.7)</w:t>
      </w:r>
    </w:p>
    <w:bookmarkStart w:id="84"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84"/>
    <w:bookmarkStart w:id="85" w:name="end-to-end-routing"/>
    <w:p>
      <w:pPr>
        <w:pStyle w:val="Heading2"/>
      </w:pPr>
      <w:r>
        <w:t xml:space="preserve">End-to-End Routing</w:t>
      </w:r>
    </w:p>
    <w:tbl>
      <w:tblPr>
        <w:tblStyle w:val="Table"/>
        <w:tblW w:type="pct" w:w="4912"/>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85"/>
    <w:bookmarkStart w:id="86"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16"/>
        </w:numPr>
      </w:pPr>
      <w:r>
        <w:t xml:space="preserve">magnet_lead, marks a lead-magnet entrant (suppression marker).</w:t>
      </w:r>
    </w:p>
    <w:p>
      <w:pPr>
        <w:numPr>
          <w:ilvl w:val="0"/>
          <w:numId w:val="1016"/>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86"/>
    <w:bookmarkStart w:id="87" w:name="the-magnets"/>
    <w:p>
      <w:pPr>
        <w:pStyle w:val="Heading2"/>
      </w:pPr>
      <w:r>
        <w:t xml:space="preserve">The Magnets</w:t>
      </w:r>
    </w:p>
    <w:tbl>
      <w:tblPr>
        <w:tblStyle w:val="Table"/>
        <w:tblW w:type="pct" w:w="4954"/>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87"/>
    <w:bookmarkStart w:id="88" w:name="email-series"/>
    <w:p>
      <w:pPr>
        <w:pStyle w:val="Heading2"/>
      </w:pPr>
      <w:r>
        <w:t xml:space="preserve">Email Series</w:t>
      </w:r>
    </w:p>
    <w:tbl>
      <w:tblPr>
        <w:tblStyle w:val="Table"/>
        <w:tblW w:type="pct" w:w="4885"/>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88"/>
    <w:bookmarkStart w:id="89" w:name="landing-page-deploy-recipe-proven"/>
    <w:p>
      <w:pPr>
        <w:pStyle w:val="Heading2"/>
      </w:pPr>
      <w:r>
        <w:t xml:space="preserve">Landing-Page Deploy Recipe (proven)</w:t>
      </w:r>
    </w:p>
    <w:p>
      <w:pPr>
        <w:numPr>
          <w:ilvl w:val="0"/>
          <w:numId w:val="1017"/>
        </w:numPr>
      </w:pPr>
      <w:r>
        <w:t xml:space="preserve">Create funnel + step; clean slug from the start.</w:t>
      </w:r>
    </w:p>
    <w:p>
      <w:pPr>
        <w:numPr>
          <w:ilvl w:val="0"/>
          <w:numId w:val="1017"/>
        </w:numPr>
      </w:pPr>
      <w:r>
        <w:t xml:space="preserve">Custom HTML/JavaScript element on a blank step; paste page HTML.</w:t>
      </w:r>
    </w:p>
    <w:p>
      <w:pPr>
        <w:numPr>
          <w:ilvl w:val="0"/>
          <w:numId w:val="1017"/>
        </w:numPr>
      </w:pPr>
      <w:r>
        <w:t xml:space="preserve">Section -&gt; Width: Full.</w:t>
      </w:r>
    </w:p>
    <w:p>
      <w:pPr>
        <w:numPr>
          <w:ilvl w:val="0"/>
          <w:numId w:val="1017"/>
        </w:numPr>
      </w:pPr>
      <w:r>
        <w:t xml:space="preserve">“Allow Rows to take entire width”</w:t>
      </w:r>
      <w:r>
        <w:t xml:space="preserve"> </w:t>
      </w:r>
      <w:r>
        <w:t xml:space="preserve">-&gt; ON.</w:t>
      </w:r>
    </w:p>
    <w:p>
      <w:pPr>
        <w:numPr>
          <w:ilvl w:val="0"/>
          <w:numId w:val="1017"/>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17"/>
        </w:numPr>
      </w:pPr>
      <w:r>
        <w:t xml:space="preserve">Connect domain, Publish.</w:t>
      </w:r>
    </w:p>
    <w:p>
      <w:pPr>
        <w:numPr>
          <w:ilvl w:val="0"/>
          <w:numId w:val="1017"/>
        </w:numPr>
      </w:pPr>
      <w:r>
        <w:t xml:space="preserve">Verify in Chrome incognito (NOT Safari, over-caches).</w:t>
      </w:r>
    </w:p>
    <w:p>
      <w:pPr>
        <w:numPr>
          <w:ilvl w:val="0"/>
          <w:numId w:val="1017"/>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2026-07-30T14:38:39Z</dcterms:created>
  <dcterms:modified xsi:type="dcterms:W3CDTF">2026-07-30T14:38:39Z</dcterms:modified>
</cp:coreProperties>
</file>

<file path=docProps/custom.xml><?xml version="1.0" encoding="utf-8"?>
<Properties xmlns="http://schemas.openxmlformats.org/officeDocument/2006/custom-properties" xmlns:vt="http://schemas.openxmlformats.org/officeDocument/2006/docPropsVTypes"/>
</file>