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(fractional CFO).</w:t>
      </w:r>
    </w:p>
    <w:p>
      <w:pPr>
        <w:pStyle w:val="Compact"/>
        <w:numPr>
          <w:ilvl w:val="0"/>
          <w:numId w:val="1001"/>
        </w:numPr>
      </w:pPr>
      <w:r>
        <w:t xml:space="preserve">Founder track record (verified, investor-facing): Scott Hansbury,</w:t>
      </w:r>
      <w:r>
        <w:t xml:space="preserve"> </w:t>
      </w:r>
      <w:r>
        <w:rPr>
          <w:b/>
          <w:bCs/>
        </w:rPr>
        <w:t xml:space="preserve">five exits from his previous eight startups totaling $500M+ in enterprise value, plus eleven M&amp;A transactions led, buy-side and sell-side, representing an additional $249M</w:t>
      </w:r>
      <w:r>
        <w:t xml:space="preserve"> </w:t>
      </w:r>
      <w:r>
        <w:t xml:space="preserve">(confirmed by Scott, 2026-08-25). Enyrgy is his ninth startup.</w:t>
      </w:r>
      <w:r>
        <w:t xml:space="preserve"> </w:t>
      </w:r>
      <w:r>
        <w:rPr>
          <w:b/>
          <w:bCs/>
        </w:rPr>
        <w:t xml:space="preserve">State the two figures separately and never combine them into a single total</w:t>
      </w:r>
      <w:r>
        <w:t xml:space="preserve">, since they describe different work: the $500M is exit value from companies he founded or helped build, the $249M is transaction value from deals he led. David Letourneau, scaled Alair Homes from 1 to 100+ locations, $750M+ in sales.</w:t>
      </w:r>
      <w:r>
        <w:t xml:space="preserve"> </w:t>
      </w:r>
      <w:r>
        <w:rPr>
          <w:b/>
          <w:bCs/>
        </w:rPr>
        <w:t xml:space="preserve">Brian Cameron, fractional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w:t>
      </w:r>
      <w:r>
        <w:t xml:space="preserve"> </w:t>
      </w:r>
      <w:r>
        <w:t xml:space="preserve">“diagnosed”</w:t>
      </w:r>
      <w:r>
        <w:t xml:space="preserve"> </w:t>
      </w:r>
      <w:r>
        <w:t xml:space="preserve">and all. Scrubbing it to pass this scan breaks it.</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24"/>
    <w:bookmarkStart w:id="32"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25"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25"/>
    <w:bookmarkStart w:id="26" w:name="Xfe5b76f7bdef9e74f6fe2238bfb78b1a0b0085c"/>
    <w:p>
      <w:pPr>
        <w:pStyle w:val="Heading3"/>
      </w:pPr>
      <w:r>
        <w:t xml:space="preserve">16.2 This list is exempt from the prohibited-words scan</w:t>
      </w:r>
    </w:p>
    <w:p>
      <w:pPr>
        <w:pStyle w:val="FirstParagraph"/>
      </w:pPr>
      <w:r>
        <w:t xml:space="preserve">The scan in section 11 blocks</w:t>
      </w:r>
      <w:r>
        <w:t xml:space="preserve"> </w:t>
      </w:r>
      <w:r>
        <w:t xml:space="preserve">“diagnose”</w:t>
      </w:r>
      <w:r>
        <w:t xml:space="preserve"> </w:t>
      </w:r>
      <w:r>
        <w:t xml:space="preserve">and</w:t>
      </w:r>
      <w:r>
        <w:t xml:space="preserve"> </w:t>
      </w:r>
      <w:r>
        <w:t xml:space="preserve">“disease”</w:t>
      </w:r>
      <w:r>
        <w:t xml:space="preserve"> </w:t>
      </w:r>
      <w:r>
        <w:t xml:space="preserve">in client-facing content. The contraindication list contains</w:t>
      </w:r>
      <w:r>
        <w:t xml:space="preserve"> </w:t>
      </w:r>
      <w:r>
        <w:t xml:space="preserve">“diagnosed”</w:t>
      </w:r>
      <w:r>
        <w:t xml:space="preserve"> </w:t>
      </w:r>
      <w:r>
        <w:t xml:space="preserve">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26"/>
    <w:bookmarkStart w:id="27"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w:t>
      </w:r>
      <w:r>
        <w:t xml:space="preserve"> </w:t>
      </w:r>
      <w:r>
        <w:t xml:space="preserve">“I stopped taking it”</w:t>
      </w:r>
      <w:r>
        <w:t xml:space="preserve"> </w:t>
      </w:r>
      <w:r>
        <w:t xml:space="preserve">is not the same as clear. That timing question also belongs to their physician, not to us.</w:t>
      </w:r>
    </w:p>
    <w:bookmarkEnd w:id="27"/>
    <w:bookmarkStart w:id="28"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28"/>
    <w:bookmarkStart w:id="29"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w:t>
      </w:r>
      <w:r>
        <w:t xml:space="preserve"> </w:t>
      </w:r>
      <w:r>
        <w:t xml:space="preserve">“do not use if.”</w:t>
      </w:r>
      <w:r>
        <w:t xml:space="preserve"> </w:t>
      </w:r>
      <w:r>
        <w:t xml:space="preserve">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29"/>
    <w:bookmarkStart w:id="30"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30"/>
    <w:bookmarkStart w:id="31"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iCs/>
        </w:rPr>
        <w:t xml:space="preserve">CONFIDENTIAL - Enyrgy Inc - 5115 N 27th Ave, Bld 66, Phoenix, AZ 85017 - enyrgy.com - Sunlight. Evolved.</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2026-08-25T17:43:22Z</dcterms:created>
  <dcterms:modified xsi:type="dcterms:W3CDTF">2026-08-25T17:43:22Z</dcterms:modified>
</cp:coreProperties>
</file>

<file path=docProps/custom.xml><?xml version="1.0" encoding="utf-8"?>
<Properties xmlns="http://schemas.openxmlformats.org/officeDocument/2006/custom-properties" xmlns:vt="http://schemas.openxmlformats.org/officeDocument/2006/docPropsVTypes"/>
</file>