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anonical-link-reference"/>
    <w:p>
      <w:pPr>
        <w:pStyle w:val="Heading1"/>
      </w:pPr>
      <w:r>
        <w:t xml:space="preserve">Canonical link reference</w:t>
      </w:r>
    </w:p>
    <w:p>
      <w:pPr>
        <w:pStyle w:val="FirstParagraph"/>
      </w:pPr>
      <w:r>
        <w:t xml:space="preserve">Every URL used in campaign copy. Email files reference these</w:t>
      </w:r>
      <w:r>
        <w:t xml:space="preserve"> </w:t>
      </w:r>
      <w:r>
        <w:rPr>
          <w:b/>
          <w:bCs/>
        </w:rPr>
        <w:t xml:space="preserve">by name</w:t>
      </w:r>
      <w:r>
        <w:t xml:space="preserve"> </w:t>
      </w:r>
      <w:r>
        <w:t xml:space="preserve">rather than repeating the URL, so a link change is a one-line edit here instead of a hunt through nineteen files.</w:t>
      </w:r>
    </w:p>
    <w:p>
      <w:pPr>
        <w:pStyle w:val="BodyText"/>
      </w:pPr>
      <w:r>
        <w:t xml:space="preserve">The GHL email editor has</w:t>
      </w:r>
      <w:r>
        <w:t xml:space="preserve"> </w:t>
      </w:r>
      <w:r>
        <w:rPr>
          <w:b/>
          <w:bCs/>
        </w:rPr>
        <w:t xml:space="preserve">no source view</w:t>
      </w:r>
      <w:r>
        <w:t xml:space="preserve">, so plain-text copy cannot carry a hyperlink’s URL, only its anchor text. Anchor text is therefore resolved against this table when a file is written.</w:t>
      </w:r>
    </w:p>
    <w:p>
      <w:pPr>
        <w:pStyle w:val="BodyText"/>
      </w:pPr>
      <w:r>
        <w:rPr>
          <w:b/>
          <w:bCs/>
        </w:rPr>
        <w:t xml:space="preserve">Provenance:</w:t>
      </w:r>
      <w:r>
        <w:t xml:space="preserve"> </w:t>
      </w:r>
      <w:r>
        <w:t xml:space="preserve">these URLs come from the Knowledge Base, the handoff’s Key URLs section and the Implementation Guide, and were verified correct against GHL in a dedicated session. They are</w:t>
      </w:r>
      <w:r>
        <w:t xml:space="preserve"> </w:t>
      </w:r>
      <w:r>
        <w:rPr>
          <w:b/>
          <w:bCs/>
        </w:rPr>
        <w:t xml:space="preserve">resolved from the repo, not read out of the email action</w:t>
      </w:r>
      <w:r>
        <w:t xml:space="preserve">. If a link is ever changed in GHL without updating here, the files silently drift.</w:t>
      </w:r>
    </w:p>
    <w:p>
      <w:r>
        <w:pict>
          <v:rect style="width:0;height:1.5pt" o:hralign="center" o:hrstd="t" o:hr="t"/>
        </w:pict>
      </w:r>
    </w:p>
    <w:bookmarkStart w:id="9" w:name="calendars"/>
    <w:p>
      <w:pPr>
        <w:pStyle w:val="Heading2"/>
      </w:pPr>
      <w:r>
        <w:t xml:space="preserve">Calendars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https://api.leadconnectorhq.com/widget/booking/C0hV5CFHUhWOIzs4OedC</w:t>
            </w:r>
          </w:p>
        </w:tc>
        <w:tc>
          <w:tcPr/>
          <w:p>
            <w:pPr>
              <w:pStyle w:val="Compact"/>
            </w:pPr>
            <w:r>
              <w:t xml:space="preserve">Round-robin. Consumer funnel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https://api.leadconnectorhq.com/widget/booking/VJ3PDGQsxhiSXhkzUwND</w:t>
            </w:r>
          </w:p>
        </w:tc>
        <w:tc>
          <w:tcPr/>
          <w:p>
            <w:pPr>
              <w:pStyle w:val="Compact"/>
            </w:pPr>
            <w:r>
              <w:t xml:space="preserve">Round-robin. Facility and operator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Intro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https://api.leadconnectorhq.com/widget/booking/JtYjGrq6vF7aBiM3IZiG</w:t>
            </w:r>
          </w:p>
        </w:tc>
        <w:tc>
          <w:tcPr/>
          <w:p>
            <w:pPr>
              <w:pStyle w:val="Compact"/>
            </w:pPr>
            <w:r>
              <w:t xml:space="preserve">Scott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https://api.leadconnectorhq.com/widget/booking/UpEku45jOQdYpj9qXlM5</w:t>
            </w:r>
          </w:p>
        </w:tc>
        <w:tc>
          <w:tcPr/>
          <w:p>
            <w:pPr>
              <w:pStyle w:val="Compact"/>
            </w:pPr>
            <w:r>
              <w:t xml:space="preserve">Collective.</w:t>
            </w:r>
          </w:p>
        </w:tc>
      </w:tr>
    </w:tbl>
    <w:bookmarkEnd w:id="9"/>
    <w:bookmarkStart w:id="10" w:name="forms"/>
    <w:p>
      <w:pPr>
        <w:pStyle w:val="Heading2"/>
      </w:pPr>
      <w:r>
        <w:t xml:space="preserve">Forms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Testimonial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https://api.leadconnectorhq.com/widget/form/OjahkWeVDeozQkfG9dW2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Testimonial (no-track variant, used in WF-07)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https://api.leadconnectorhq.com/widget/form/OjahkWeVDeozQkfG9dW2?notrack=true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Inquiry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https://api.leadconnectorhq.com/widget/form/dclY1TB3jA3eitWEQaCo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Accreditation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https://api.leadconnectorhq.com/widget/form/DBQBL51stonmfRcUBsMe</w:t>
            </w:r>
          </w:p>
        </w:tc>
      </w:tr>
    </w:tbl>
    <w:bookmarkEnd w:id="10"/>
    <w:bookmarkStart w:id="11" w:name="product-and-store"/>
    <w:p>
      <w:pPr>
        <w:pStyle w:val="Heading2"/>
      </w:pPr>
      <w:r>
        <w:t xml:space="preserve">Product and store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page</w:t>
            </w:r>
            <w:r>
              <w:t xml:space="preserve"> </w:t>
            </w:r>
            <w:r>
              <w:t xml:space="preserve">(Home System)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https://shop.enyrgy.com/products/uvb-light-therapy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https://api.enyrgy.com/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https://shop.enyrgy.com/policies/privacy-policy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https://shop.enyrgy.com/policies/terms-of-service</w:t>
            </w:r>
          </w:p>
        </w:tc>
      </w:tr>
    </w:tbl>
    <w:bookmarkEnd w:id="11"/>
    <w:bookmarkStart w:id="12" w:name="lead-magnet-pages"/>
    <w:p>
      <w:pPr>
        <w:pStyle w:val="Heading2"/>
      </w:pPr>
      <w:r>
        <w:t xml:space="preserve">Lead magnet pages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Tired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https://go.enyrgy.com/tired-test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D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https://go.enyrgy.com/vitamin-d-assessment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https://go.enyrgy.com/synthesis-gap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https://go.enyrgy.com/recovery-protocol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Winter 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https://go.enyrgy.com/winter-protocol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opt-in proof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https://go.enyrgy.com/sms-opt-in</w:t>
            </w:r>
          </w:p>
        </w:tc>
      </w:tr>
    </w:tbl>
    <w:bookmarkEnd w:id="12"/>
    <w:bookmarkStart w:id="13" w:name="reviews"/>
    <w:p>
      <w:pPr>
        <w:pStyle w:val="Heading2"/>
      </w:pPr>
      <w:r>
        <w:t xml:space="preserve">Reviews</w:t>
      </w:r>
    </w:p>
    <w:tbl>
      <w:tblPr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review (GBP)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https://g.page/r/CfN5Rj0CdmrfEAI/review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https://www.trustpilot.com/evaluate/enyrgy.com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ow-email-files-cite-links"/>
    <w:p>
      <w:pPr>
        <w:pStyle w:val="Heading2"/>
      </w:pPr>
      <w:r>
        <w:t xml:space="preserve">How email files cite links</w:t>
      </w:r>
    </w:p>
    <w:p>
      <w:pPr>
        <w:pStyle w:val="FirstParagraph"/>
      </w:pPr>
      <w:r>
        <w:t xml:space="preserve">Anchor text is preserved exactly as it appears to the reader, with the resolved target noted beneath:</w:t>
      </w:r>
    </w:p>
    <w:p>
      <w:pPr>
        <w:pStyle w:val="BlockText"/>
      </w:pPr>
      <w:r>
        <w:rPr>
          <w:rStyle w:val="VerbatimChar"/>
        </w:rPr>
        <w:t xml:space="preserve">... grab a 15-minute call here: Book Call.</w:t>
      </w:r>
    </w:p>
    <w:p>
      <w:pPr>
        <w:pStyle w:val="BlockText"/>
      </w:pPr>
      <w:r>
        <w:rPr>
          <w:b/>
          <w:bCs/>
        </w:rPr>
        <w:t xml:space="preserve">Links:</w:t>
      </w:r>
      <w:r>
        <w:t xml:space="preserve"> </w:t>
      </w:r>
      <w:r>
        <w:rPr>
          <w:rStyle w:val="VerbatimChar"/>
        </w:rPr>
        <w:t xml:space="preserve">Book Call</w:t>
      </w:r>
      <w:r>
        <w:t xml:space="preserve"> </w:t>
      </w:r>
      <w:r>
        <w:t xml:space="preserve">-&gt; Consumer Discovery</w:t>
      </w:r>
    </w:p>
    <w:p>
      <w:pPr>
        <w:pStyle w:val="FirstParagraph"/>
      </w:pPr>
      <w:r>
        <w:t xml:space="preserve">Where a full URL is written out in the body itself, as in the Consumer Drip touch 2 order link, it is left inline and needs no entry.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2026-08-02T17:15:45Z</dcterms:created>
  <dcterms:modified xsi:type="dcterms:W3CDTF">2026-08-02T17:15:45Z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