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1 email, 2 branches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Five Minute First Response</w:t>
            </w:r>
          </w:p>
        </w:tc>
        <w:tc>
          <w:tcPr/>
          <w:p>
            <w:pPr>
              <w:pStyle w:val="Compact"/>
            </w:pPr>
            <w:r>
              <w:t xml:space="preserve">1 SMS + 1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p>
      <w:pPr>
        <w:pStyle w:val="BodyText"/>
      </w:pPr>
      <w:r>
        <w:rPr>
          <w:b/>
          <w:bCs/>
        </w:rPr>
        <w:t xml:space="preserve">COMPLETE, Aug 3, 2026.</w:t>
      </w:r>
      <w:r>
        <w:t xml:space="preserve"> </w:t>
      </w:r>
      <w:r>
        <w:t xml:space="preserve">19 workflows, 94 touches, 83 corrections applied. Every live email and SMS in the GHL account is captured.</w:t>
      </w:r>
    </w:p>
    <w:p>
      <w:pPr>
        <w:pStyle w:val="BodyText"/>
      </w:pPr>
      <w:r>
        <w:t xml:space="preserve">GHL is the source of truth. Change GHL first, then update the file. If a correction is applied in one workflow, grep the rest before calling it done, the accreditation gate and the guarantee coupling each survived being declared fixed.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2026-08-03T16:23:47Z</dcterms:created>
  <dcterms:modified xsi:type="dcterms:W3CDTF">2026-08-03T16:23:47Z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