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GHL agency email sender name (cosmetic, optional)</w:t>
      </w:r>
      <w:r>
        <w:t xml:space="preserve"> </w:t>
      </w:r>
      <w:r>
        <w:t xml:space="preserve">— the agency mailing address was CORRECTED to Phoenix at the agency level on July 28 (done; that was the CAN-SPAM footer). The agency itself is Enyrgy Inc (Enyrgy-branded). Remaining: agency system emails still send from the name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(a lingering legal/company-name or SMTP from-name field from before the agency was branded Enyrgy). Optional cosmetic fix: Agency Settings &gt; Company (confirm Company/Legal Name = Enyrgy Inc) and/or Email Services/SMTP from-name.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2"/>
  </w:num>
  <w:num w:numId="1021">
    <w:abstractNumId w:val="993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3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2026-07-29T15:13:30Z</dcterms:created>
  <dcterms:modified xsi:type="dcterms:W3CDTF">2026-07-29T15:13:30Z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